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7938"/>
          <w:tab w:val="right" w:pos="9639"/>
        </w:tabs>
        <w:spacing w:before="120" w:after="120"/>
        <w:ind w:right="2"/>
        <w:outlineLvl w:val="0"/>
        <w:rPr>
          <w:rFonts w:ascii="Arial" w:hAnsi="Arial" w:cs="Arial"/>
          <w:b/>
          <w:bCs/>
          <w:sz w:val="28"/>
        </w:rPr>
      </w:pPr>
      <w:r>
        <w:rPr>
          <w:rFonts w:ascii="Arial" w:hAnsi="Arial" w:cs="Arial"/>
          <w:b/>
          <w:bCs/>
          <w:sz w:val="28"/>
        </w:rPr>
        <w:t>3GPP TSG RAN WG1 #109-e</w:t>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cs="Arial"/>
          <w:b/>
          <w:bCs/>
          <w:sz w:val="28"/>
        </w:rPr>
        <w:t>R1-2203606</w:t>
      </w:r>
    </w:p>
    <w:p>
      <w:pPr>
        <w:tabs>
          <w:tab w:val="center" w:pos="4536"/>
          <w:tab w:val="right" w:pos="9072"/>
        </w:tabs>
        <w:spacing w:before="120" w:after="120"/>
        <w:rPr>
          <w:rFonts w:ascii="Arial" w:hAnsi="Arial" w:eastAsia="MS Mincho" w:cs="Arial"/>
          <w:b/>
          <w:bCs/>
          <w:sz w:val="28"/>
          <w:lang w:eastAsia="ja-JP"/>
        </w:rPr>
      </w:pPr>
      <w:r>
        <w:rPr>
          <w:rFonts w:ascii="Arial" w:hAnsi="Arial" w:eastAsia="MS Mincho" w:cs="Arial"/>
          <w:b/>
          <w:bCs/>
          <w:sz w:val="28"/>
          <w:lang w:eastAsia="ja-JP"/>
        </w:rPr>
        <w:t>e-Meeting, May 9</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20</w:t>
      </w:r>
      <w:r>
        <w:rPr>
          <w:rFonts w:ascii="Arial" w:hAnsi="Arial" w:eastAsia="MS Mincho" w:cs="Arial"/>
          <w:b/>
          <w:bCs/>
          <w:sz w:val="28"/>
          <w:vertAlign w:val="superscript"/>
          <w:lang w:eastAsia="ja-JP"/>
        </w:rPr>
        <w:t>th</w:t>
      </w:r>
      <w:r>
        <w:rPr>
          <w:rFonts w:ascii="Arial" w:hAnsi="Arial" w:eastAsia="MS Mincho" w:cs="Arial"/>
          <w:b/>
          <w:bCs/>
          <w:sz w:val="28"/>
          <w:lang w:eastAsia="ja-JP"/>
        </w:rPr>
        <w:t>, 2022</w:t>
      </w:r>
    </w:p>
    <w:p>
      <w:pPr>
        <w:tabs>
          <w:tab w:val="center" w:pos="4536"/>
          <w:tab w:val="right" w:pos="9072"/>
        </w:tabs>
        <w:spacing w:before="120" w:after="120"/>
        <w:rPr>
          <w:b/>
          <w:sz w:val="22"/>
          <w:szCs w:val="22"/>
        </w:rPr>
      </w:pPr>
    </w:p>
    <w:p>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r>
      <w:r>
        <w:rPr>
          <w:b/>
          <w:sz w:val="22"/>
          <w:szCs w:val="22"/>
        </w:rPr>
        <w:t>ZTE, Sanechips</w:t>
      </w:r>
    </w:p>
    <w:p>
      <w:pPr>
        <w:tabs>
          <w:tab w:val="left" w:pos="1985"/>
        </w:tabs>
        <w:spacing w:before="120" w:after="120" w:line="240" w:lineRule="auto"/>
        <w:ind w:left="1980" w:hanging="1980"/>
        <w:rPr>
          <w:b/>
          <w:sz w:val="22"/>
          <w:szCs w:val="22"/>
        </w:rPr>
      </w:pPr>
      <w:r>
        <w:rPr>
          <w:b/>
          <w:sz w:val="22"/>
          <w:szCs w:val="22"/>
        </w:rPr>
        <w:t>Title:</w:t>
      </w:r>
      <w:r>
        <w:rPr>
          <w:b/>
          <w:sz w:val="22"/>
          <w:szCs w:val="22"/>
        </w:rPr>
        <w:tab/>
      </w:r>
      <w:r>
        <w:rPr>
          <w:rFonts w:hint="eastAsia"/>
          <w:b/>
          <w:sz w:val="22"/>
          <w:szCs w:val="22"/>
        </w:rPr>
        <w:t xml:space="preserve">Discussion on </w:t>
      </w:r>
      <w:r>
        <w:rPr>
          <w:b/>
          <w:sz w:val="22"/>
          <w:szCs w:val="22"/>
        </w:rPr>
        <w:t>XR</w:t>
      </w:r>
      <w:r>
        <w:rPr>
          <w:rFonts w:hint="eastAsia"/>
          <w:b/>
          <w:sz w:val="22"/>
          <w:szCs w:val="22"/>
        </w:rPr>
        <w:t xml:space="preserve"> </w:t>
      </w:r>
      <w:r>
        <w:rPr>
          <w:b/>
          <w:sz w:val="22"/>
          <w:szCs w:val="22"/>
        </w:rPr>
        <w:t>specific power saving techniques</w:t>
      </w:r>
    </w:p>
    <w:p>
      <w:pPr>
        <w:tabs>
          <w:tab w:val="left" w:pos="1985"/>
        </w:tabs>
        <w:spacing w:before="120" w:after="120" w:line="240" w:lineRule="auto"/>
        <w:rPr>
          <w:b/>
          <w:sz w:val="22"/>
          <w:szCs w:val="22"/>
        </w:rPr>
      </w:pPr>
      <w:r>
        <w:rPr>
          <w:b/>
          <w:sz w:val="22"/>
          <w:szCs w:val="22"/>
          <w:lang w:val="pt-BR"/>
        </w:rPr>
        <w:t>Agenda item:</w:t>
      </w:r>
      <w:r>
        <w:rPr>
          <w:b/>
          <w:sz w:val="22"/>
          <w:szCs w:val="22"/>
          <w:lang w:val="pt-BR"/>
        </w:rPr>
        <w:tab/>
      </w:r>
      <w:r>
        <w:rPr>
          <w:b/>
          <w:sz w:val="22"/>
          <w:szCs w:val="22"/>
        </w:rPr>
        <w:t>9.11.1</w:t>
      </w:r>
    </w:p>
    <w:p>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w:t>
      </w: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Introduction</w:t>
      </w:r>
    </w:p>
    <w:p>
      <w:pPr>
        <w:spacing w:before="120" w:after="120"/>
      </w:pPr>
      <w:r>
        <w:t>The SID of XR was approved in RAN #94</w:t>
      </w:r>
      <w:r>
        <w:rPr>
          <w:rFonts w:hint="eastAsia"/>
        </w:rPr>
        <w:t xml:space="preserve">. </w:t>
      </w:r>
      <w:r>
        <w:t>The objectives include CDRX enhancement and PDCCH monitoring enhancement</w:t>
      </w:r>
      <w:r>
        <w:rPr>
          <w:rFonts w:hint="eastAsia"/>
        </w:rPr>
        <w:t xml:space="preserve"> </w:t>
      </w:r>
      <w:r>
        <w:t>for power saving purpose.</w:t>
      </w:r>
      <w:r>
        <w:rPr>
          <w:rFonts w:hint="eastAsia"/>
        </w:rPr>
        <w:t xml:space="preserve"> In this contribution,</w:t>
      </w:r>
      <w:r>
        <w:t xml:space="preserve"> potential issues/enhancements are discussed to support 5G-New Radio based XR traffic.</w:t>
      </w:r>
    </w:p>
    <w:p>
      <w:pPr>
        <w:pStyle w:val="2"/>
        <w:spacing w:before="240" w:beforeLines="100" w:after="120"/>
        <w:ind w:left="0"/>
        <w:rPr>
          <w:rFonts w:ascii="Times New Roman" w:hAnsi="Times New Roman" w:eastAsia="宋体"/>
          <w:b/>
          <w:bCs/>
          <w:sz w:val="24"/>
          <w:szCs w:val="24"/>
        </w:rPr>
      </w:pPr>
      <w:r>
        <w:rPr>
          <w:rFonts w:ascii="Times New Roman" w:hAnsi="Times New Roman" w:eastAsia="宋体"/>
          <w:b/>
          <w:bCs/>
          <w:sz w:val="24"/>
          <w:szCs w:val="24"/>
        </w:rPr>
        <w:t>Discussion</w:t>
      </w:r>
    </w:p>
    <w:p>
      <w:pPr>
        <w:spacing w:before="120" w:after="120"/>
        <w:rPr>
          <w:szCs w:val="21"/>
        </w:rPr>
      </w:pPr>
      <w:r>
        <w:rPr>
          <w:szCs w:val="21"/>
        </w:rPr>
        <w:t xml:space="preserve">In this section, CDRX technique is enhanced to accommodate the XR traffic properties such as pseudo-periodicity, aiming at achieving reasonable power saving gain with acceptable capacity loss. Meanwhile, corresponding evaluation results are provided to justify the potential enhancements. </w:t>
      </w:r>
    </w:p>
    <w:p>
      <w:pPr>
        <w:spacing w:before="120" w:after="120"/>
      </w:pPr>
    </w:p>
    <w:p>
      <w:pPr>
        <w:pStyle w:val="3"/>
        <w:spacing w:before="120" w:after="120" w:line="260" w:lineRule="auto"/>
        <w:ind w:left="0" w:right="210"/>
        <w:rPr>
          <w:rFonts w:ascii="Times New Roman" w:hAnsi="Times New Roman"/>
          <w:sz w:val="24"/>
          <w:szCs w:val="24"/>
        </w:rPr>
      </w:pPr>
      <w:r>
        <w:rPr>
          <w:rFonts w:ascii="Times New Roman" w:hAnsi="Times New Roman"/>
          <w:sz w:val="24"/>
          <w:szCs w:val="24"/>
        </w:rPr>
        <w:t>CDRX alignment</w:t>
      </w:r>
    </w:p>
    <w:p>
      <w:pPr>
        <w:pStyle w:val="4"/>
        <w:spacing w:after="120" w:line="260" w:lineRule="auto"/>
        <w:ind w:left="425" w:right="210" w:hanging="424" w:hangingChars="177"/>
        <w:rPr>
          <w:szCs w:val="21"/>
        </w:rPr>
      </w:pPr>
      <w:r>
        <w:rPr>
          <w:rFonts w:ascii="Times New Roman" w:hAnsi="Times New Roman"/>
          <w:sz w:val="24"/>
          <w:szCs w:val="24"/>
        </w:rPr>
        <w:t>Background</w:t>
      </w:r>
    </w:p>
    <w:p>
      <w:pPr>
        <w:spacing w:before="120" w:after="120"/>
      </w:pPr>
      <w:r>
        <w:t xml:space="preserve">DRX technique is widely applied for UE power saving in LTE as well as NR networks. In fact, it controls UE’s PDCCH monitoring activity with a set of DRX configuration, e.g., drx-onDurationTimer, drx-LongCycleStartOffset, etc. According to the common understanding in [1], DRX technique is supposed to be applied to the XR application to save UE power consumption. </w:t>
      </w:r>
    </w:p>
    <w:p>
      <w:pPr>
        <w:spacing w:before="120" w:after="120"/>
      </w:pPr>
      <w:r>
        <w:t xml:space="preserve">More specifically, the periodicity of XR traffic is determined by frames per second (fps), which is a non-integer. </w:t>
      </w:r>
      <w:r>
        <w:rPr>
          <w:rFonts w:hint="eastAsia"/>
        </w:rPr>
        <w:t>I</w:t>
      </w:r>
      <w:r>
        <w:t>n that case, current DRX configurations cannot match the non-integer periodicity</w:t>
      </w:r>
      <w:r>
        <w:rPr>
          <w:rFonts w:hint="eastAsia"/>
        </w:rPr>
        <w:t>, as shown in</w:t>
      </w:r>
      <w:r>
        <w:t xml:space="preserve"> </w:t>
      </w:r>
      <w:r>
        <w:fldChar w:fldCharType="begin"/>
      </w:r>
      <w:r>
        <w:instrText xml:space="preserve"> REF _Ref101553133 \h </w:instrText>
      </w:r>
      <w:r>
        <w:fldChar w:fldCharType="separate"/>
      </w:r>
      <w:r>
        <w:t>Figure 1</w:t>
      </w:r>
      <w:r>
        <w:fldChar w:fldCharType="end"/>
      </w:r>
      <w:r>
        <w:t>. It is probable that UE is within a DRX-off period while XR downlink packet arrives at gNB. Thus the packet would be postponed to next on-duration time. Moreover, that problem may occur periodically along the time. As a consequence of mismatched periodicities, the scheduling latency would increase.</w:t>
      </w:r>
    </w:p>
    <w:p>
      <w:pPr>
        <w:spacing w:before="120" w:after="120"/>
        <w:jc w:val="center"/>
      </w:pPr>
      <w:r>
        <w:drawing>
          <wp:inline distT="0" distB="0" distL="114300" distR="114300">
            <wp:extent cx="3335020" cy="1329055"/>
            <wp:effectExtent l="0" t="0" r="17780" b="444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0"/>
                    <a:stretch>
                      <a:fillRect/>
                    </a:stretch>
                  </pic:blipFill>
                  <pic:spPr>
                    <a:xfrm>
                      <a:off x="0" y="0"/>
                      <a:ext cx="3335020" cy="1329055"/>
                    </a:xfrm>
                    <a:prstGeom prst="rect">
                      <a:avLst/>
                    </a:prstGeom>
                    <a:noFill/>
                    <a:ln>
                      <a:noFill/>
                    </a:ln>
                  </pic:spPr>
                </pic:pic>
              </a:graphicData>
            </a:graphic>
          </wp:inline>
        </w:drawing>
      </w:r>
      <w:r>
        <w:t xml:space="preserve"> </w:t>
      </w:r>
    </w:p>
    <w:p>
      <w:pPr>
        <w:pStyle w:val="14"/>
        <w:spacing w:before="120" w:after="120"/>
        <w:jc w:val="center"/>
        <w:rPr>
          <w:rFonts w:ascii="Times New Roman" w:hAnsi="Times New Roman"/>
        </w:rPr>
      </w:pPr>
      <w:bookmarkStart w:id="0" w:name="_Ref101553133"/>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 xml:space="preserve"> Mismatch between XR traffic and DRX</w:t>
      </w:r>
      <w:bookmarkEnd w:id="0"/>
    </w:p>
    <w:p>
      <w:pPr>
        <w:spacing w:before="120" w:after="120"/>
        <w:rPr>
          <w:lang w:val="en-GB"/>
        </w:rPr>
      </w:pPr>
    </w:p>
    <w:p>
      <w:pPr>
        <w:spacing w:before="120" w:after="120"/>
      </w:pPr>
      <w:r>
        <w:t>Other impacts, e.g., power saving gains</w:t>
      </w:r>
      <w:r>
        <w:rPr>
          <w:rFonts w:hint="eastAsia"/>
        </w:rPr>
        <w:t>,</w:t>
      </w:r>
      <w:r>
        <w:t xml:space="preserve"> should also be investigated. For example, in the aforementioned case, the power consumption was wasted due to</w:t>
      </w:r>
      <w:bookmarkStart w:id="161" w:name="_GoBack"/>
      <w:r>
        <w:rPr>
          <w:highlight w:val="none"/>
        </w:rPr>
        <w:t xml:space="preserve"> vain attempt of PDCCH decoding</w:t>
      </w:r>
      <w:r>
        <w:rPr>
          <w:rFonts w:hint="eastAsia"/>
          <w:highlight w:val="none"/>
          <w:lang w:val="en-US" w:eastAsia="zh-CN"/>
        </w:rPr>
        <w:t xml:space="preserve"> during onDurationTimer</w:t>
      </w:r>
      <w:r>
        <w:rPr>
          <w:highlight w:val="none"/>
        </w:rPr>
        <w:t xml:space="preserve"> if the data packets arrives outside the onDurationTimer</w:t>
      </w:r>
      <w:r>
        <w:rPr>
          <w:rFonts w:hint="eastAsia"/>
          <w:highlight w:val="none"/>
          <w:lang w:val="en-US" w:eastAsia="zh-CN"/>
        </w:rPr>
        <w:t>.</w:t>
      </w:r>
      <w:r>
        <w:rPr>
          <w:highlight w:val="none"/>
        </w:rPr>
        <w:t xml:space="preserve"> </w:t>
      </w:r>
      <w:bookmarkEnd w:id="161"/>
    </w:p>
    <w:p>
      <w:pPr>
        <w:pStyle w:val="38"/>
        <w:spacing w:before="120" w:after="120"/>
        <w:jc w:val="both"/>
        <w:rPr>
          <w:i w:val="0"/>
          <w:iCs w:val="0"/>
        </w:rPr>
      </w:pPr>
      <w:bookmarkStart w:id="1" w:name="_Toc25373"/>
      <w:bookmarkStart w:id="2" w:name="_Toc83805062"/>
      <w:bookmarkStart w:id="3" w:name="_Toc29707"/>
      <w:bookmarkStart w:id="4" w:name="_Toc24812"/>
      <w:bookmarkStart w:id="5" w:name="_Toc28720"/>
      <w:bookmarkStart w:id="6" w:name="_Toc27516"/>
      <w:bookmarkStart w:id="7" w:name="_Toc14634"/>
      <w:bookmarkStart w:id="8" w:name="_Toc10036"/>
      <w:bookmarkStart w:id="9" w:name="_Toc5606"/>
      <w:bookmarkStart w:id="10" w:name="_Toc11280"/>
      <w:bookmarkStart w:id="11" w:name="_Toc3303"/>
      <w:r>
        <w:rPr>
          <w:rFonts w:hint="eastAsia"/>
          <w:i w:val="0"/>
          <w:iCs w:val="0"/>
        </w:rPr>
        <w:t xml:space="preserve">Due to the </w:t>
      </w:r>
      <w:r>
        <w:rPr>
          <w:i w:val="0"/>
          <w:iCs w:val="0"/>
        </w:rPr>
        <w:t>mismatch</w:t>
      </w:r>
      <w:r>
        <w:rPr>
          <w:rFonts w:hint="eastAsia"/>
          <w:i w:val="0"/>
          <w:iCs w:val="0"/>
        </w:rPr>
        <w:t xml:space="preserve"> between XR traffic period</w:t>
      </w:r>
      <w:r>
        <w:rPr>
          <w:i w:val="0"/>
          <w:iCs w:val="0"/>
        </w:rPr>
        <w:t>icity</w:t>
      </w:r>
      <w:r>
        <w:rPr>
          <w:rFonts w:hint="eastAsia"/>
          <w:i w:val="0"/>
          <w:iCs w:val="0"/>
        </w:rPr>
        <w:t xml:space="preserve"> and </w:t>
      </w:r>
      <w:r>
        <w:rPr>
          <w:rFonts w:hint="eastAsia"/>
          <w:i w:val="0"/>
          <w:iCs w:val="0"/>
          <w:lang w:val="en-US" w:eastAsia="zh-CN"/>
        </w:rPr>
        <w:t>C</w:t>
      </w:r>
      <w:r>
        <w:rPr>
          <w:rFonts w:hint="eastAsia"/>
          <w:i w:val="0"/>
          <w:iCs w:val="0"/>
        </w:rPr>
        <w:t xml:space="preserve">DRX cycle, </w:t>
      </w:r>
      <w:r>
        <w:rPr>
          <w:i w:val="0"/>
          <w:iCs w:val="0"/>
        </w:rPr>
        <w:t>XR data</w:t>
      </w:r>
      <w:r>
        <w:rPr>
          <w:rFonts w:hint="eastAsia"/>
          <w:i w:val="0"/>
          <w:iCs w:val="0"/>
        </w:rPr>
        <w:t xml:space="preserve"> </w:t>
      </w:r>
      <w:r>
        <w:rPr>
          <w:i w:val="0"/>
          <w:iCs w:val="0"/>
        </w:rPr>
        <w:t>packets</w:t>
      </w:r>
      <w:r>
        <w:rPr>
          <w:rFonts w:hint="eastAsia"/>
          <w:i w:val="0"/>
          <w:iCs w:val="0"/>
        </w:rPr>
        <w:t xml:space="preserve"> arrive </w:t>
      </w:r>
      <w:r>
        <w:rPr>
          <w:i w:val="0"/>
          <w:iCs w:val="0"/>
        </w:rPr>
        <w:t>outside onDurationTimer frequently.</w:t>
      </w:r>
      <w:bookmarkEnd w:id="1"/>
      <w:bookmarkEnd w:id="2"/>
      <w:bookmarkEnd w:id="3"/>
      <w:bookmarkEnd w:id="4"/>
      <w:bookmarkEnd w:id="5"/>
      <w:bookmarkEnd w:id="6"/>
      <w:bookmarkEnd w:id="7"/>
      <w:bookmarkEnd w:id="8"/>
      <w:bookmarkEnd w:id="9"/>
      <w:bookmarkEnd w:id="10"/>
      <w:bookmarkEnd w:id="11"/>
    </w:p>
    <w:p>
      <w:pPr>
        <w:spacing w:before="120" w:after="120"/>
        <w:rPr>
          <w:lang w:val="en-GB"/>
        </w:rPr>
      </w:pPr>
    </w:p>
    <w:p>
      <w:pPr>
        <w:pStyle w:val="4"/>
        <w:spacing w:after="120" w:line="260" w:lineRule="auto"/>
        <w:ind w:left="0" w:right="210"/>
        <w:rPr>
          <w:sz w:val="24"/>
          <w:szCs w:val="24"/>
        </w:rPr>
      </w:pPr>
      <w:r>
        <w:rPr>
          <w:rFonts w:ascii="Times New Roman" w:hAnsi="Times New Roman"/>
          <w:sz w:val="24"/>
          <w:szCs w:val="24"/>
        </w:rPr>
        <w:t>Solutions</w:t>
      </w:r>
    </w:p>
    <w:p>
      <w:pPr>
        <w:spacing w:before="120" w:after="120"/>
      </w:pPr>
      <w:r>
        <w:t>In order to achieve an aligned periodicity between</w:t>
      </w:r>
      <w:r>
        <w:rPr>
          <w:rFonts w:hint="eastAsia"/>
        </w:rPr>
        <w:t xml:space="preserve"> CDRX</w:t>
      </w:r>
      <w:r>
        <w:t xml:space="preserve"> configuration and XR service, potential </w:t>
      </w:r>
      <w:r>
        <w:rPr>
          <w:rFonts w:hint="eastAsia"/>
        </w:rPr>
        <w:t>C</w:t>
      </w:r>
      <w:r>
        <w:t>DRX enhancements can be considered in two directions, i.e., via dynamic change of</w:t>
      </w:r>
      <w:r>
        <w:rPr>
          <w:rFonts w:hint="eastAsia"/>
        </w:rPr>
        <w:t xml:space="preserve"> CDRX</w:t>
      </w:r>
      <w:r>
        <w:t xml:space="preserve"> configuration or via semi-static RRC configuration of CDRX. </w:t>
      </w:r>
    </w:p>
    <w:p>
      <w:pPr>
        <w:spacing w:before="120" w:after="120"/>
      </w:pPr>
      <w:r>
        <w:t>For the first solution,</w:t>
      </w:r>
      <w:r>
        <w:rPr>
          <w:rFonts w:hint="eastAsia"/>
        </w:rPr>
        <w:t xml:space="preserve"> more flexibility</w:t>
      </w:r>
      <w:r>
        <w:t xml:space="preserve"> is provided but with additional</w:t>
      </w:r>
      <w:r>
        <w:rPr>
          <w:rFonts w:hint="eastAsia"/>
        </w:rPr>
        <w:t xml:space="preserve"> signaling overhead.</w:t>
      </w:r>
      <w:r>
        <w:t xml:space="preserve"> For example, dynamic</w:t>
      </w:r>
      <w:r>
        <w:rPr>
          <w:rFonts w:hint="eastAsia"/>
        </w:rPr>
        <w:t xml:space="preserve"> CDRX</w:t>
      </w:r>
      <w:r>
        <w:t xml:space="preserve"> configuration update can be implemented by adjusting the StartOffset over a period of time via dynamic indication to ensure that the start of next</w:t>
      </w:r>
      <w:r>
        <w:rPr>
          <w:rFonts w:hint="eastAsia"/>
        </w:rPr>
        <w:t xml:space="preserve"> DRX</w:t>
      </w:r>
      <w:r>
        <w:t xml:space="preserve"> cycle is aligned with the arrival of XR data packet.</w:t>
      </w:r>
      <w:r>
        <w:rPr>
          <w:rFonts w:hint="eastAsia"/>
        </w:rPr>
        <w:t xml:space="preserve"> However, since UE does not know when the CDRX configuration</w:t>
      </w:r>
      <w:r>
        <w:t xml:space="preserve"> should be updated to adapt to the traffic</w:t>
      </w:r>
      <w:r>
        <w:rPr>
          <w:rFonts w:hint="eastAsia"/>
        </w:rPr>
        <w:t>, UE needs to monitor the</w:t>
      </w:r>
      <w:r>
        <w:t xml:space="preserve"> dynamic</w:t>
      </w:r>
      <w:r>
        <w:rPr>
          <w:rFonts w:hint="eastAsia"/>
        </w:rPr>
        <w:t xml:space="preserve"> indication to obtain the </w:t>
      </w:r>
      <w:r>
        <w:t>update information, it</w:t>
      </w:r>
      <w:r>
        <w:rPr>
          <w:rFonts w:hint="eastAsia"/>
        </w:rPr>
        <w:t xml:space="preserve"> will cause </w:t>
      </w:r>
      <w:r>
        <w:t>extra</w:t>
      </w:r>
      <w:r>
        <w:rPr>
          <w:rFonts w:hint="eastAsia"/>
        </w:rPr>
        <w:t xml:space="preserve"> power consumption on PDCCH monitoring.</w:t>
      </w:r>
    </w:p>
    <w:p>
      <w:pPr>
        <w:pStyle w:val="38"/>
        <w:spacing w:before="120" w:after="120"/>
        <w:jc w:val="both"/>
        <w:rPr>
          <w:i w:val="0"/>
          <w:iCs w:val="0"/>
          <w:lang w:val="en-US" w:eastAsia="zh-CN"/>
        </w:rPr>
      </w:pPr>
      <w:bookmarkStart w:id="12" w:name="_Toc31897"/>
      <w:bookmarkStart w:id="13" w:name="_Toc18613"/>
      <w:bookmarkStart w:id="14" w:name="_Toc15860"/>
      <w:bookmarkStart w:id="15" w:name="_Toc1601"/>
      <w:r>
        <w:rPr>
          <w:rFonts w:hint="eastAsia"/>
          <w:i w:val="0"/>
          <w:iCs w:val="0"/>
          <w:lang w:val="en-US" w:eastAsia="zh-CN"/>
        </w:rPr>
        <w:t xml:space="preserve">Dynamic change </w:t>
      </w:r>
      <w:r>
        <w:rPr>
          <w:i w:val="0"/>
          <w:iCs w:val="0"/>
          <w:lang w:val="en-US" w:eastAsia="zh-CN"/>
        </w:rPr>
        <w:t>of</w:t>
      </w:r>
      <w:r>
        <w:rPr>
          <w:rFonts w:hint="eastAsia"/>
          <w:i w:val="0"/>
          <w:iCs w:val="0"/>
          <w:lang w:val="en-US" w:eastAsia="zh-CN"/>
        </w:rPr>
        <w:t xml:space="preserve"> CDRX configuration will provide additional signaling overhead and may cause more power consumption on PDCCH monitoring.</w:t>
      </w:r>
      <w:bookmarkEnd w:id="12"/>
      <w:bookmarkEnd w:id="13"/>
      <w:bookmarkEnd w:id="14"/>
      <w:bookmarkEnd w:id="15"/>
    </w:p>
    <w:p>
      <w:pPr>
        <w:spacing w:before="120" w:after="120"/>
      </w:pPr>
      <w:r>
        <w:t>For semi-static RRC configuration of eCDRX, less spec impact is observed. For example, a set of</w:t>
      </w:r>
      <w:r>
        <w:rPr>
          <w:rFonts w:hint="eastAsia"/>
        </w:rPr>
        <w:t xml:space="preserve"> CDRX</w:t>
      </w:r>
      <w:r>
        <w:t xml:space="preserve"> configurations can be applied for the traffic transmissions in a specific XR scenario.</w:t>
      </w:r>
      <w:r>
        <w:rPr>
          <w:rFonts w:hint="eastAsia"/>
        </w:rPr>
        <w:t xml:space="preserve"> The problem of semi-static RRC configuration is that t</w:t>
      </w:r>
      <w:r>
        <w:t xml:space="preserve">he latency for RRC re-configuration, if needed, </w:t>
      </w:r>
      <w:r>
        <w:rPr>
          <w:rFonts w:hint="eastAsia"/>
        </w:rPr>
        <w:t>is large</w:t>
      </w:r>
      <w:r>
        <w:t xml:space="preserve">. </w:t>
      </w:r>
      <w:r>
        <w:rPr>
          <w:rFonts w:hint="eastAsia"/>
        </w:rPr>
        <w:t xml:space="preserve">However, </w:t>
      </w:r>
      <w:r>
        <w:t>the</w:t>
      </w:r>
      <w:r>
        <w:rPr>
          <w:rFonts w:hint="eastAsia"/>
        </w:rPr>
        <w:t xml:space="preserve"> periodicit</w:t>
      </w:r>
      <w:r>
        <w:t>ies of XR traffics should not be changed once the service starts</w:t>
      </w:r>
      <w:r>
        <w:rPr>
          <w:rFonts w:hint="eastAsia"/>
        </w:rPr>
        <w:t xml:space="preserve">. Hence semi-static RRC configuration is </w:t>
      </w:r>
      <w:r>
        <w:t>considered as proper</w:t>
      </w:r>
      <w:r>
        <w:rPr>
          <w:rFonts w:hint="eastAsia"/>
        </w:rPr>
        <w:t xml:space="preserve"> to align the CDRX cycle and XR traffic periodicity. </w:t>
      </w:r>
    </w:p>
    <w:p>
      <w:pPr>
        <w:spacing w:before="120" w:after="120"/>
      </w:pPr>
      <w:r>
        <w:t>In additional, f</w:t>
      </w:r>
      <w:r>
        <w:rPr>
          <w:rFonts w:hint="eastAsia"/>
        </w:rPr>
        <w:t xml:space="preserve">or both </w:t>
      </w:r>
      <w:r>
        <w:t>alternative</w:t>
      </w:r>
      <w:r>
        <w:rPr>
          <w:rFonts w:hint="eastAsia"/>
        </w:rPr>
        <w:t xml:space="preserve">s, traffic periodicity and jitter range information are needed for proper CDRX configuration and </w:t>
      </w:r>
      <w:r>
        <w:t>dynamic</w:t>
      </w:r>
      <w:r>
        <w:rPr>
          <w:rFonts w:hint="eastAsia"/>
        </w:rPr>
        <w:t xml:space="preserve"> indication</w:t>
      </w:r>
      <w:r>
        <w:t xml:space="preserve"> </w:t>
      </w:r>
      <w:r>
        <w:rPr>
          <w:rFonts w:hint="eastAsia"/>
        </w:rPr>
        <w:t>[2].</w:t>
      </w:r>
    </w:p>
    <w:p>
      <w:pPr>
        <w:pStyle w:val="39"/>
        <w:spacing w:before="120" w:after="120"/>
        <w:jc w:val="both"/>
        <w:rPr>
          <w:bCs w:val="0"/>
          <w:i w:val="0"/>
          <w:iCs w:val="0"/>
          <w:lang w:val="en-US" w:eastAsia="zh-CN"/>
        </w:rPr>
      </w:pPr>
      <w:bookmarkStart w:id="16" w:name="_Toc11753"/>
      <w:bookmarkStart w:id="17" w:name="_Toc17965"/>
      <w:bookmarkStart w:id="18" w:name="_Toc21353"/>
      <w:bookmarkStart w:id="19" w:name="_Toc26347"/>
      <w:r>
        <w:rPr>
          <w:bCs w:val="0"/>
          <w:i w:val="0"/>
          <w:iCs w:val="0"/>
        </w:rPr>
        <w:t>Semi-static RRC configuration for CDRX enhancement can be considered</w:t>
      </w:r>
      <w:r>
        <w:rPr>
          <w:rFonts w:hint="eastAsia"/>
          <w:bCs w:val="0"/>
          <w:i w:val="0"/>
          <w:iCs w:val="0"/>
          <w:lang w:val="en-US" w:eastAsia="zh-CN"/>
        </w:rPr>
        <w:t xml:space="preserve"> to align the CDRX cycle and XR traffic periodicity.</w:t>
      </w:r>
      <w:bookmarkEnd w:id="16"/>
      <w:bookmarkEnd w:id="17"/>
      <w:bookmarkEnd w:id="18"/>
      <w:bookmarkEnd w:id="19"/>
    </w:p>
    <w:p>
      <w:pPr>
        <w:pStyle w:val="39"/>
        <w:numPr>
          <w:ilvl w:val="1"/>
          <w:numId w:val="3"/>
        </w:numPr>
        <w:spacing w:before="120" w:after="120"/>
        <w:jc w:val="both"/>
        <w:rPr>
          <w:bCs w:val="0"/>
          <w:i w:val="0"/>
          <w:iCs w:val="0"/>
          <w:lang w:val="en-US" w:eastAsia="zh-CN"/>
        </w:rPr>
      </w:pPr>
      <w:bookmarkStart w:id="20" w:name="_Toc25370"/>
      <w:bookmarkStart w:id="21" w:name="_Toc6676"/>
      <w:bookmarkStart w:id="22" w:name="_Toc21264"/>
      <w:bookmarkStart w:id="23" w:name="_Toc21977"/>
      <w:r>
        <w:rPr>
          <w:i w:val="0"/>
          <w:iCs w:val="0"/>
        </w:rPr>
        <w:t>FFS: dynamic update of the</w:t>
      </w:r>
      <w:r>
        <w:rPr>
          <w:rFonts w:hint="eastAsia"/>
          <w:i w:val="0"/>
          <w:iCs w:val="0"/>
          <w:lang w:eastAsia="zh-CN"/>
        </w:rPr>
        <w:t xml:space="preserve"> CDRX</w:t>
      </w:r>
      <w:r>
        <w:rPr>
          <w:i w:val="0"/>
          <w:iCs w:val="0"/>
        </w:rPr>
        <w:t xml:space="preserve"> configuration.</w:t>
      </w:r>
      <w:bookmarkEnd w:id="20"/>
      <w:bookmarkEnd w:id="21"/>
      <w:bookmarkEnd w:id="22"/>
      <w:bookmarkEnd w:id="23"/>
    </w:p>
    <w:p>
      <w:pPr>
        <w:pStyle w:val="39"/>
        <w:numPr>
          <w:ilvl w:val="255"/>
          <w:numId w:val="0"/>
        </w:numPr>
        <w:spacing w:before="120" w:after="120"/>
        <w:jc w:val="both"/>
        <w:rPr>
          <w:bCs w:val="0"/>
          <w:i w:val="0"/>
          <w:iCs w:val="0"/>
          <w:lang w:val="en-US" w:eastAsia="zh-CN"/>
        </w:rPr>
      </w:pPr>
    </w:p>
    <w:p>
      <w:pPr>
        <w:spacing w:before="120" w:after="120"/>
      </w:pPr>
      <w:r>
        <w:t>More specifically, multiple implementations of periodicities match via RRC configuration are elaborated as follows:</w:t>
      </w:r>
    </w:p>
    <w:p>
      <w:pPr>
        <w:numPr>
          <w:ilvl w:val="0"/>
          <w:numId w:val="8"/>
        </w:numPr>
        <w:spacing w:before="120" w:after="120"/>
      </w:pPr>
      <w:r>
        <w:t>Multiple CDRX configurations</w:t>
      </w:r>
    </w:p>
    <w:p>
      <w:pPr>
        <w:spacing w:before="120" w:after="120"/>
      </w:pPr>
      <w:r>
        <w:rPr>
          <w:rFonts w:hint="eastAsia"/>
        </w:rPr>
        <w:t>In [3,</w:t>
      </w:r>
      <w:r>
        <w:t xml:space="preserve"> </w:t>
      </w:r>
      <w:r>
        <w:rPr>
          <w:rFonts w:hint="eastAsia"/>
        </w:rPr>
        <w:t xml:space="preserve">4], multiple CDRX configurations are proposed for multiple XR flows. It can also be used to align the XR traffic and CDRX cycle. </w:t>
      </w:r>
      <w:r>
        <w:t xml:space="preserve">Compared to the legacy </w:t>
      </w:r>
      <w:r>
        <w:rPr>
          <w:rFonts w:hint="eastAsia"/>
        </w:rPr>
        <w:t>du</w:t>
      </w:r>
      <w:r>
        <w:t>al CDRX configurations, the</w:t>
      </w:r>
      <w:r>
        <w:rPr>
          <w:rFonts w:hint="eastAsia"/>
        </w:rPr>
        <w:t xml:space="preserve"> </w:t>
      </w:r>
      <w:r>
        <w:t>potential enhancement is to allow multiple CDRX configurations with staggered start of onDurationTimer, so that similar effect with different drx-cyle sets, e.g., (</w:t>
      </w:r>
      <w:r>
        <w:rPr>
          <w:rFonts w:hint="eastAsia"/>
        </w:rPr>
        <w:t>17,17,16</w:t>
      </w:r>
      <w:r>
        <w:t xml:space="preserve"> ), can be realized. </w:t>
      </w:r>
    </w:p>
    <w:p>
      <w:pPr>
        <w:spacing w:before="120" w:after="120"/>
      </w:pPr>
      <w:r>
        <w:t>The advantages of multiple configurations of CDRX are clear, e.g, the legacy</w:t>
      </w:r>
      <w:r>
        <w:rPr>
          <w:rFonts w:hint="eastAsia"/>
        </w:rPr>
        <w:t xml:space="preserve"> CDRX</w:t>
      </w:r>
      <w:r>
        <w:t xml:space="preserve"> operation can be reused </w:t>
      </w:r>
      <w:r>
        <w:rPr>
          <w:rFonts w:hint="eastAsia"/>
        </w:rPr>
        <w:t>t</w:t>
      </w:r>
      <w:r>
        <w:t>o the most extent. In addition, the increased complexity for both network and UE is minimal. On the other hand, more signaling overhead is required, and the handling of multiple</w:t>
      </w:r>
      <w:r>
        <w:rPr>
          <w:rFonts w:hint="eastAsia"/>
        </w:rPr>
        <w:t xml:space="preserve"> CDRX</w:t>
      </w:r>
      <w:r>
        <w:t xml:space="preserve"> configurations at the same time needs to be considered. </w:t>
      </w:r>
    </w:p>
    <w:p>
      <w:pPr>
        <w:numPr>
          <w:ilvl w:val="0"/>
          <w:numId w:val="8"/>
        </w:numPr>
        <w:spacing w:before="120" w:after="120"/>
      </w:pPr>
      <w:r>
        <w:rPr>
          <w:rFonts w:hint="eastAsia"/>
        </w:rPr>
        <w:t>Non-integer CDRX cycle</w:t>
      </w:r>
    </w:p>
    <w:p>
      <w:pPr>
        <w:spacing w:before="120" w:after="120"/>
      </w:pPr>
      <w:r>
        <w:t>Given the requirement of non-integer periodicity of the service, a non-integer value may be introduced as the</w:t>
      </w:r>
      <w:r>
        <w:rPr>
          <w:rFonts w:hint="eastAsia"/>
        </w:rPr>
        <w:t xml:space="preserve"> CDRX</w:t>
      </w:r>
      <w:r>
        <w:t xml:space="preserve"> cycle. </w:t>
      </w:r>
      <w:r>
        <w:rPr>
          <w:rFonts w:hint="eastAsia"/>
        </w:rPr>
        <w:t xml:space="preserve">This method seems to be the most </w:t>
      </w:r>
      <w:r>
        <w:t>straightforward</w:t>
      </w:r>
      <w:r>
        <w:rPr>
          <w:rFonts w:hint="eastAsia"/>
        </w:rPr>
        <w:t xml:space="preserve"> solution </w:t>
      </w:r>
      <w:r>
        <w:t>to</w:t>
      </w:r>
      <w:r>
        <w:rPr>
          <w:rFonts w:hint="eastAsia"/>
        </w:rPr>
        <w:t xml:space="preserve"> </w:t>
      </w:r>
      <w:r>
        <w:t>address</w:t>
      </w:r>
      <w:r>
        <w:rPr>
          <w:rFonts w:hint="eastAsia"/>
        </w:rPr>
        <w:t xml:space="preserve"> the issue. However, the </w:t>
      </w:r>
      <w:r>
        <w:t>issue</w:t>
      </w:r>
      <w:r>
        <w:rPr>
          <w:rFonts w:hint="eastAsia"/>
        </w:rPr>
        <w:t xml:space="preserve"> is </w:t>
      </w:r>
      <w:r>
        <w:t xml:space="preserve">how </w:t>
      </w:r>
      <w:r>
        <w:rPr>
          <w:rFonts w:hint="eastAsia"/>
        </w:rPr>
        <w:t>to use the non-integer value and how to determine the position where the drx-onDurationTimer starts.</w:t>
      </w:r>
    </w:p>
    <w:p>
      <w:pPr>
        <w:numPr>
          <w:ilvl w:val="0"/>
          <w:numId w:val="8"/>
        </w:numPr>
        <w:spacing w:before="120" w:after="120"/>
      </w:pPr>
      <w:r>
        <w:rPr>
          <w:rFonts w:hint="eastAsia"/>
        </w:rPr>
        <w:t xml:space="preserve">CDRX resynchronization </w:t>
      </w:r>
    </w:p>
    <w:p>
      <w:pPr>
        <w:spacing w:before="120" w:after="120"/>
      </w:pPr>
      <w:r>
        <w:t>In this case, multiple small</w:t>
      </w:r>
      <w:r>
        <w:rPr>
          <w:rFonts w:hint="eastAsia"/>
        </w:rPr>
        <w:t xml:space="preserve"> CDRX</w:t>
      </w:r>
      <w:r>
        <w:t xml:space="preserve"> cycles are used to compose a longer</w:t>
      </w:r>
      <w:r>
        <w:rPr>
          <w:rFonts w:hint="eastAsia"/>
        </w:rPr>
        <w:t xml:space="preserve"> CDRX</w:t>
      </w:r>
      <w:r>
        <w:t xml:space="preserve"> cycle. For example, </w:t>
      </w:r>
      <w:r>
        <w:rPr>
          <w:rFonts w:hint="eastAsia"/>
        </w:rPr>
        <w:t xml:space="preserve">XR traffic periodicity is 1000/120 </w:t>
      </w:r>
      <w:r>
        <w:t>=</w:t>
      </w:r>
      <w:r>
        <w:rPr>
          <w:rFonts w:hint="eastAsia"/>
        </w:rPr>
        <w:t>25</w:t>
      </w:r>
      <w:r>
        <w:t>/3</w:t>
      </w:r>
      <w:r>
        <w:rPr>
          <w:rFonts w:hint="eastAsia"/>
        </w:rPr>
        <w:t xml:space="preserve">ms. </w:t>
      </w:r>
      <w:r>
        <w:t>A</w:t>
      </w:r>
      <w:r>
        <w:rPr>
          <w:rFonts w:hint="eastAsia"/>
        </w:rPr>
        <w:t xml:space="preserve"> CDRX</w:t>
      </w:r>
      <w:r>
        <w:t xml:space="preserve"> cycle set with three small</w:t>
      </w:r>
      <w:r>
        <w:rPr>
          <w:rFonts w:hint="eastAsia"/>
        </w:rPr>
        <w:t xml:space="preserve"> CDRX</w:t>
      </w:r>
      <w:r>
        <w:t xml:space="preserve"> cycles, e.g.,</w:t>
      </w:r>
      <w:r>
        <w:rPr>
          <w:rFonts w:hint="eastAsia"/>
        </w:rPr>
        <w:t xml:space="preserve"> (9ms,</w:t>
      </w:r>
      <w:r>
        <w:t xml:space="preserve"> </w:t>
      </w:r>
      <w:r>
        <w:rPr>
          <w:rFonts w:hint="eastAsia"/>
        </w:rPr>
        <w:t xml:space="preserve">8ms, 8ms) or (8ms,8ms,9ms), </w:t>
      </w:r>
      <w:r>
        <w:t>can</w:t>
      </w:r>
      <w:r>
        <w:rPr>
          <w:rFonts w:hint="eastAsia"/>
        </w:rPr>
        <w:t xml:space="preserve"> obtain a long CDRX</w:t>
      </w:r>
      <w:r>
        <w:t xml:space="preserve"> </w:t>
      </w:r>
      <w:r>
        <w:rPr>
          <w:rFonts w:hint="eastAsia"/>
        </w:rPr>
        <w:t xml:space="preserve">cycle </w:t>
      </w:r>
      <w:r>
        <w:t>of</w:t>
      </w:r>
      <w:r>
        <w:rPr>
          <w:rFonts w:hint="eastAsia"/>
        </w:rPr>
        <w:t xml:space="preserve"> 25ms and the alignment </w:t>
      </w:r>
      <w:r>
        <w:t>between</w:t>
      </w:r>
      <w:r>
        <w:rPr>
          <w:rFonts w:hint="eastAsia"/>
        </w:rPr>
        <w:t xml:space="preserve"> </w:t>
      </w:r>
      <w:r>
        <w:t xml:space="preserve">XR </w:t>
      </w:r>
      <w:r>
        <w:rPr>
          <w:rFonts w:hint="eastAsia"/>
        </w:rPr>
        <w:t>traffic and CDRX</w:t>
      </w:r>
      <w:r>
        <w:t xml:space="preserve"> is achieved</w:t>
      </w:r>
      <w:r>
        <w:rPr>
          <w:rFonts w:hint="eastAsia"/>
        </w:rPr>
        <w:t>, as shown in Figure 2.</w:t>
      </w:r>
    </w:p>
    <w:p>
      <w:pPr>
        <w:spacing w:before="120" w:after="120"/>
      </w:pPr>
      <w:r>
        <w:drawing>
          <wp:inline distT="0" distB="0" distL="114300" distR="114300">
            <wp:extent cx="6129655" cy="1099185"/>
            <wp:effectExtent l="0" t="0" r="4445" b="571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1"/>
                    <a:stretch>
                      <a:fillRect/>
                    </a:stretch>
                  </pic:blipFill>
                  <pic:spPr>
                    <a:xfrm>
                      <a:off x="0" y="0"/>
                      <a:ext cx="6129655" cy="1099185"/>
                    </a:xfrm>
                    <a:prstGeom prst="rect">
                      <a:avLst/>
                    </a:prstGeom>
                    <a:noFill/>
                    <a:ln>
                      <a:noFill/>
                    </a:ln>
                  </pic:spPr>
                </pic:pic>
              </a:graphicData>
            </a:graphic>
          </wp:inline>
        </w:drawing>
      </w:r>
    </w:p>
    <w:p>
      <w:pPr>
        <w:spacing w:before="120" w:after="120"/>
        <w:jc w:val="center"/>
      </w:pPr>
      <w:r>
        <w:t xml:space="preserve">Figure </w:t>
      </w:r>
      <w:r>
        <w:fldChar w:fldCharType="begin"/>
      </w:r>
      <w:r>
        <w:instrText xml:space="preserve"> SEQ Figure \* ARABIC </w:instrText>
      </w:r>
      <w:r>
        <w:fldChar w:fldCharType="separate"/>
      </w:r>
      <w:r>
        <w:t>2</w:t>
      </w:r>
      <w:r>
        <w:fldChar w:fldCharType="end"/>
      </w:r>
      <w:r>
        <w:t xml:space="preserve"> S</w:t>
      </w:r>
      <w:r>
        <w:rPr>
          <w:rFonts w:hint="eastAsia"/>
        </w:rPr>
        <w:t>emi-static CDRX periodicity adaptation</w:t>
      </w:r>
    </w:p>
    <w:p>
      <w:pPr>
        <w:spacing w:before="120" w:after="120"/>
      </w:pPr>
      <w:r>
        <w:rPr>
          <w:rFonts w:hint="eastAsia"/>
        </w:rPr>
        <w:t>To summarize, s</w:t>
      </w:r>
      <w:r>
        <w:t>emi-static RRC configuration for CDRX enhancement</w:t>
      </w:r>
      <w:r>
        <w:rPr>
          <w:rFonts w:hint="eastAsia"/>
        </w:rPr>
        <w:t xml:space="preserve"> can be achieved by multiple methods and can be studied</w:t>
      </w:r>
      <w:r>
        <w:t>.</w:t>
      </w:r>
      <w:r>
        <w:rPr>
          <w:rFonts w:hint="eastAsia"/>
        </w:rPr>
        <w:t xml:space="preserve"> </w:t>
      </w:r>
      <w:r>
        <w:t>In additional, o</w:t>
      </w:r>
      <w:r>
        <w:rPr>
          <w:rFonts w:hint="eastAsia"/>
        </w:rPr>
        <w:t>ther methods to reach matched periodicities of traffic and CDRX can also be considered.</w:t>
      </w:r>
    </w:p>
    <w:p>
      <w:pPr>
        <w:pStyle w:val="39"/>
        <w:spacing w:before="120" w:after="120"/>
        <w:jc w:val="both"/>
        <w:rPr>
          <w:i w:val="0"/>
        </w:rPr>
      </w:pPr>
      <w:bookmarkStart w:id="24" w:name="_Toc26037"/>
      <w:bookmarkStart w:id="25" w:name="_Toc23132"/>
      <w:bookmarkStart w:id="26" w:name="_Toc13979"/>
      <w:bookmarkStart w:id="27" w:name="_Toc10544"/>
      <w:r>
        <w:rPr>
          <w:i w:val="0"/>
          <w:lang w:val="en-US" w:eastAsia="zh-CN"/>
        </w:rPr>
        <w:t xml:space="preserve">RAN 1 to study </w:t>
      </w:r>
      <w:r>
        <w:rPr>
          <w:i w:val="0"/>
        </w:rPr>
        <w:t>solutions to match periodicities of</w:t>
      </w:r>
      <w:r>
        <w:rPr>
          <w:i w:val="0"/>
          <w:lang w:val="en-US" w:eastAsia="zh-CN"/>
        </w:rPr>
        <w:t xml:space="preserve"> XR traffic and CDRX via semi-static RRC configuration</w:t>
      </w:r>
      <w:r>
        <w:rPr>
          <w:rFonts w:hint="eastAsia"/>
          <w:i w:val="0"/>
          <w:lang w:val="en-US" w:eastAsia="zh-CN"/>
        </w:rPr>
        <w:t xml:space="preserve">, </w:t>
      </w:r>
      <w:r>
        <w:rPr>
          <w:i w:val="0"/>
          <w:lang w:val="en-US" w:eastAsia="zh-CN"/>
        </w:rPr>
        <w:t xml:space="preserve">e.g., </w:t>
      </w:r>
      <w:r>
        <w:rPr>
          <w:i w:val="0"/>
        </w:rPr>
        <w:t>multiple CDRX configurations</w:t>
      </w:r>
      <w:r>
        <w:rPr>
          <w:i w:val="0"/>
          <w:lang w:val="en-US" w:eastAsia="zh-CN"/>
        </w:rPr>
        <w:t>, n</w:t>
      </w:r>
      <w:r>
        <w:rPr>
          <w:i w:val="0"/>
        </w:rPr>
        <w:t>on-integer</w:t>
      </w:r>
      <w:r>
        <w:rPr>
          <w:rFonts w:hint="eastAsia"/>
          <w:i w:val="0"/>
          <w:lang w:eastAsia="zh-CN"/>
        </w:rPr>
        <w:t xml:space="preserve"> CDRX</w:t>
      </w:r>
      <w:r>
        <w:rPr>
          <w:i w:val="0"/>
        </w:rPr>
        <w:t xml:space="preserve"> cycle</w:t>
      </w:r>
      <w:r>
        <w:rPr>
          <w:i w:val="0"/>
          <w:lang w:val="en-US" w:eastAsia="zh-CN"/>
        </w:rPr>
        <w:t xml:space="preserve">, CDRX </w:t>
      </w:r>
      <w:r>
        <w:rPr>
          <w:i w:val="0"/>
        </w:rPr>
        <w:t>periodicity</w:t>
      </w:r>
      <w:r>
        <w:rPr>
          <w:rFonts w:hint="eastAsia"/>
          <w:i w:val="0"/>
          <w:iCs w:val="0"/>
        </w:rPr>
        <w:t xml:space="preserve"> </w:t>
      </w:r>
      <w:r>
        <w:rPr>
          <w:i w:val="0"/>
          <w:lang w:val="en-US" w:eastAsia="zh-CN"/>
        </w:rPr>
        <w:t>re</w:t>
      </w:r>
      <w:r>
        <w:rPr>
          <w:i w:val="0"/>
        </w:rPr>
        <w:t>synchronizatio</w:t>
      </w:r>
      <w:r>
        <w:rPr>
          <w:i w:val="0"/>
          <w:lang w:val="en-US" w:eastAsia="zh-CN"/>
        </w:rPr>
        <w:t>n</w:t>
      </w:r>
      <w:r>
        <w:rPr>
          <w:rFonts w:hint="eastAsia"/>
          <w:i w:val="0"/>
          <w:lang w:val="en-US" w:eastAsia="zh-CN"/>
        </w:rPr>
        <w:t>.</w:t>
      </w:r>
      <w:bookmarkEnd w:id="24"/>
      <w:bookmarkEnd w:id="25"/>
      <w:bookmarkEnd w:id="26"/>
      <w:bookmarkEnd w:id="27"/>
    </w:p>
    <w:p>
      <w:pPr>
        <w:spacing w:before="120" w:after="120"/>
      </w:pPr>
    </w:p>
    <w:p>
      <w:pPr>
        <w:pStyle w:val="3"/>
        <w:spacing w:before="120" w:after="120"/>
        <w:ind w:left="209" w:right="210" w:hanging="208" w:hangingChars="87"/>
        <w:rPr>
          <w:rFonts w:ascii="Times New Roman" w:hAnsi="Times New Roman"/>
          <w:sz w:val="24"/>
          <w:szCs w:val="24"/>
        </w:rPr>
      </w:pPr>
      <w:r>
        <w:rPr>
          <w:rFonts w:ascii="Times New Roman" w:hAnsi="Times New Roman"/>
          <w:sz w:val="24"/>
          <w:szCs w:val="24"/>
        </w:rPr>
        <w:t xml:space="preserve">Jitter handling </w:t>
      </w:r>
    </w:p>
    <w:p>
      <w:pPr>
        <w:pStyle w:val="4"/>
        <w:spacing w:after="120" w:line="260" w:lineRule="auto"/>
        <w:ind w:left="425" w:right="210" w:hanging="424" w:hangingChars="177"/>
      </w:pPr>
      <w:r>
        <w:rPr>
          <w:rFonts w:ascii="Times New Roman" w:hAnsi="Times New Roman"/>
          <w:sz w:val="24"/>
          <w:szCs w:val="24"/>
        </w:rPr>
        <w:t>Background</w:t>
      </w:r>
    </w:p>
    <w:p>
      <w:pPr>
        <w:spacing w:before="120" w:after="120"/>
      </w:pPr>
      <w:r>
        <w:rPr>
          <w:rFonts w:hint="eastAsia"/>
        </w:rPr>
        <w:t>I</w:t>
      </w:r>
      <w:r>
        <w:t xml:space="preserve">t is elaborated that the varying frame encoding delay and network transfer time introduces </w:t>
      </w:r>
      <w:r>
        <w:rPr>
          <w:bCs/>
        </w:rPr>
        <w:t xml:space="preserve">jitter </w:t>
      </w:r>
      <w:r>
        <w:t xml:space="preserve">(e.g.,for DL video stream). And the jitter is modeled to follow truncated Gaussian distribution with a range of [-4ms~4ms] or [-5ms~5ms] </w:t>
      </w:r>
      <w:r>
        <w:rPr>
          <w:rFonts w:hint="eastAsia"/>
        </w:rPr>
        <w:t>[1]</w:t>
      </w:r>
      <w:r>
        <w:t>. For a particular</w:t>
      </w:r>
      <w:r>
        <w:rPr>
          <w:rFonts w:hint="eastAsia"/>
        </w:rPr>
        <w:t xml:space="preserve"> CDRX</w:t>
      </w:r>
      <w:r>
        <w:t xml:space="preserve"> configuration, the data packet may arrive at gNB at the time when UE is in inactive time because of the uncertainty of jitter.</w:t>
      </w:r>
      <w:r>
        <w:rPr>
          <w:rFonts w:hint="eastAsia"/>
        </w:rPr>
        <w:t xml:space="preserve"> </w:t>
      </w:r>
      <w:r>
        <w:t>In this regard, the packet would be postponed to next on-duration time. Firstly, jitter is more likely follow a real Gaussian distribution</w:t>
      </w:r>
      <w:r>
        <w:rPr>
          <w:rFonts w:hint="eastAsia"/>
        </w:rPr>
        <w:t xml:space="preserve"> </w:t>
      </w:r>
      <w:r>
        <w:t xml:space="preserve">in realistic network, which indicates the jitter range may be extended further, and probably bring the arrival packet out of active time. Then if the exceeding happens with an extent of probability, the delay of the postponed packet may not be within the requirement of PDB. </w:t>
      </w:r>
    </w:p>
    <w:p>
      <w:pPr>
        <w:spacing w:before="120" w:after="120"/>
        <w:rPr>
          <w:highlight w:val="yellow"/>
        </w:rPr>
      </w:pPr>
      <w:r>
        <w:t>In our understanding, the UE’s experience may decrease when the delay exceeds a threshold, because in that case the packet can’t be successfully received at UE side within the required PDB.</w:t>
      </w:r>
    </w:p>
    <w:p>
      <w:pPr>
        <w:pStyle w:val="38"/>
        <w:spacing w:before="120" w:after="120"/>
        <w:rPr>
          <w:i w:val="0"/>
          <w:iCs w:val="0"/>
          <w:lang w:val="en-US" w:eastAsia="zh-CN"/>
        </w:rPr>
      </w:pPr>
      <w:bookmarkStart w:id="28" w:name="_Toc16320"/>
      <w:bookmarkStart w:id="29" w:name="_Toc14401"/>
      <w:bookmarkStart w:id="30" w:name="_Toc24115"/>
      <w:bookmarkStart w:id="31" w:name="_Toc17155"/>
      <w:r>
        <w:rPr>
          <w:rFonts w:hint="eastAsia"/>
          <w:i w:val="0"/>
          <w:iCs w:val="0"/>
          <w:lang w:val="en-US" w:eastAsia="zh-CN"/>
        </w:rPr>
        <w:t>The performance would decrease when the delay caused by jitter exceeded a threshold.</w:t>
      </w:r>
      <w:bookmarkEnd w:id="28"/>
      <w:bookmarkEnd w:id="29"/>
      <w:bookmarkEnd w:id="30"/>
      <w:bookmarkEnd w:id="31"/>
    </w:p>
    <w:p>
      <w:pPr>
        <w:pStyle w:val="4"/>
        <w:spacing w:after="120" w:line="260" w:lineRule="auto"/>
        <w:ind w:left="0" w:right="210"/>
        <w:rPr>
          <w:sz w:val="24"/>
          <w:szCs w:val="24"/>
        </w:rPr>
      </w:pPr>
      <w:r>
        <w:rPr>
          <w:rFonts w:ascii="Times New Roman" w:hAnsi="Times New Roman"/>
          <w:sz w:val="24"/>
          <w:szCs w:val="24"/>
        </w:rPr>
        <w:t>Solutions</w:t>
      </w:r>
    </w:p>
    <w:p>
      <w:pPr>
        <w:spacing w:before="120" w:after="120"/>
      </w:pPr>
      <w:r>
        <w:t>In order to</w:t>
      </w:r>
      <w:r>
        <w:rPr>
          <w:rFonts w:hint="eastAsia"/>
        </w:rPr>
        <w:t xml:space="preserve"> decrease the jitter impact, o</w:t>
      </w:r>
      <w:r>
        <w:t>ne simple way is to increasing</w:t>
      </w:r>
      <w:r>
        <w:rPr>
          <w:rFonts w:hint="eastAsia"/>
        </w:rPr>
        <w:t xml:space="preserve"> </w:t>
      </w:r>
      <w:r>
        <w:t xml:space="preserve">PDCCH </w:t>
      </w:r>
      <w:r>
        <w:rPr>
          <w:rFonts w:hint="eastAsia"/>
        </w:rPr>
        <w:t>monitor occasion</w:t>
      </w:r>
      <w:r>
        <w:t>s,</w:t>
      </w:r>
      <w:r>
        <w:rPr>
          <w:rFonts w:hint="eastAsia"/>
        </w:rPr>
        <w:t xml:space="preserve"> </w:t>
      </w:r>
      <w:r>
        <w:t xml:space="preserve">e.g.,via </w:t>
      </w:r>
      <w:r>
        <w:rPr>
          <w:rFonts w:hint="eastAsia"/>
        </w:rPr>
        <w:t>increas</w:t>
      </w:r>
      <w:r>
        <w:t>ing</w:t>
      </w:r>
      <w:r>
        <w:rPr>
          <w:rFonts w:hint="eastAsia"/>
        </w:rPr>
        <w:t xml:space="preserve"> the drx-onDurationTimer </w:t>
      </w:r>
      <w:r>
        <w:t>to</w:t>
      </w:r>
      <w:r>
        <w:rPr>
          <w:rFonts w:hint="eastAsia"/>
        </w:rPr>
        <w:t xml:space="preserve"> reduce the latency </w:t>
      </w:r>
      <w:r>
        <w:t>caused by</w:t>
      </w:r>
      <w:r>
        <w:rPr>
          <w:rFonts w:hint="eastAsia"/>
        </w:rPr>
        <w:t xml:space="preserve"> jitter. However,</w:t>
      </w:r>
      <w:r>
        <w:t xml:space="preserve"> in this regard</w:t>
      </w:r>
      <w:r>
        <w:rPr>
          <w:rFonts w:hint="eastAsia"/>
        </w:rPr>
        <w:t xml:space="preserve">, the power saving gain will also be decreased. </w:t>
      </w:r>
      <w:r>
        <w:t>Thus a</w:t>
      </w:r>
      <w:r>
        <w:rPr>
          <w:rFonts w:hint="eastAsia"/>
        </w:rPr>
        <w:t xml:space="preserve"> technique which has less capacity impact </w:t>
      </w:r>
      <w:r>
        <w:t xml:space="preserve">and </w:t>
      </w:r>
      <w:r>
        <w:rPr>
          <w:rFonts w:hint="eastAsia"/>
        </w:rPr>
        <w:t>large power saving gain is needed.</w:t>
      </w:r>
      <w:r>
        <w:t xml:space="preserve"> Two solutions</w:t>
      </w:r>
      <w:r>
        <w:rPr>
          <w:rFonts w:hint="eastAsia"/>
        </w:rPr>
        <w:t xml:space="preserve"> </w:t>
      </w:r>
      <w:r>
        <w:t>are</w:t>
      </w:r>
      <w:r>
        <w:rPr>
          <w:rFonts w:hint="eastAsia"/>
        </w:rPr>
        <w:t xml:space="preserve"> provided</w:t>
      </w:r>
      <w:r>
        <w:t xml:space="preserve"> as following</w:t>
      </w:r>
      <w:r>
        <w:rPr>
          <w:rFonts w:hint="eastAsia"/>
        </w:rPr>
        <w:t>:</w:t>
      </w:r>
    </w:p>
    <w:p>
      <w:pPr>
        <w:pStyle w:val="45"/>
        <w:numPr>
          <w:ilvl w:val="0"/>
          <w:numId w:val="9"/>
        </w:numPr>
        <w:spacing w:before="120" w:after="120"/>
        <w:rPr>
          <w:sz w:val="21"/>
          <w:szCs w:val="21"/>
        </w:rPr>
      </w:pPr>
      <w:r>
        <w:rPr>
          <w:sz w:val="21"/>
          <w:szCs w:val="21"/>
        </w:rPr>
        <w:t>E</w:t>
      </w:r>
      <w:r>
        <w:rPr>
          <w:rFonts w:hint="eastAsia"/>
          <w:sz w:val="21"/>
          <w:szCs w:val="21"/>
        </w:rPr>
        <w:t xml:space="preserve">nhanced CDRX with </w:t>
      </w:r>
      <w:r>
        <w:rPr>
          <w:sz w:val="21"/>
          <w:szCs w:val="21"/>
        </w:rPr>
        <w:t>flexible additional PDCCH monitoring</w:t>
      </w:r>
      <w:r>
        <w:rPr>
          <w:rFonts w:hint="eastAsia"/>
          <w:sz w:val="21"/>
          <w:szCs w:val="21"/>
        </w:rPr>
        <w:t>.</w:t>
      </w:r>
    </w:p>
    <w:p>
      <w:pPr>
        <w:pStyle w:val="45"/>
        <w:numPr>
          <w:ilvl w:val="0"/>
          <w:numId w:val="9"/>
        </w:numPr>
        <w:spacing w:before="120" w:after="120"/>
        <w:rPr>
          <w:sz w:val="21"/>
          <w:szCs w:val="21"/>
        </w:rPr>
      </w:pPr>
      <w:r>
        <w:rPr>
          <w:sz w:val="21"/>
          <w:szCs w:val="21"/>
        </w:rPr>
        <w:t>F</w:t>
      </w:r>
      <w:r>
        <w:rPr>
          <w:rFonts w:hint="eastAsia"/>
          <w:sz w:val="21"/>
          <w:szCs w:val="21"/>
        </w:rPr>
        <w:t>ast/dense WUS for jitter handling with eCDRX.</w:t>
      </w:r>
    </w:p>
    <w:p>
      <w:pPr>
        <w:spacing w:before="120" w:after="120"/>
      </w:pPr>
      <w:r>
        <w:rPr>
          <w:rFonts w:hint="eastAsia"/>
        </w:rPr>
        <w:t xml:space="preserve">For </w:t>
      </w:r>
      <w:r>
        <w:t>the first solution</w:t>
      </w:r>
      <w:r>
        <w:rPr>
          <w:rFonts w:hint="eastAsia"/>
        </w:rPr>
        <w:t>, considering that the</w:t>
      </w:r>
      <w:r>
        <w:t>re is</w:t>
      </w:r>
      <w:r>
        <w:rPr>
          <w:rFonts w:hint="eastAsia"/>
        </w:rPr>
        <w:t xml:space="preserve"> </w:t>
      </w:r>
      <w:r>
        <w:t>always a</w:t>
      </w:r>
      <w:r>
        <w:rPr>
          <w:rFonts w:hint="eastAsia"/>
        </w:rPr>
        <w:t xml:space="preserve"> packet during one XR traffic cycle, an additional </w:t>
      </w:r>
      <w:r>
        <w:rPr>
          <w:szCs w:val="21"/>
        </w:rPr>
        <w:t>PDCCH monitoring</w:t>
      </w:r>
      <w:r>
        <w:rPr>
          <w:rFonts w:hint="eastAsia"/>
          <w:szCs w:val="21"/>
        </w:rPr>
        <w:t xml:space="preserve"> </w:t>
      </w:r>
      <w:r>
        <w:rPr>
          <w:rFonts w:hint="eastAsia"/>
        </w:rPr>
        <w:t xml:space="preserve">time can be considered to </w:t>
      </w:r>
      <w:r>
        <w:t xml:space="preserve">monitor the </w:t>
      </w:r>
      <w:r>
        <w:rPr>
          <w:rFonts w:hint="eastAsia"/>
        </w:rPr>
        <w:t>schedule for the late arrival</w:t>
      </w:r>
      <w:r>
        <w:t xml:space="preserve"> data</w:t>
      </w:r>
      <w:r>
        <w:rPr>
          <w:rFonts w:hint="eastAsia"/>
        </w:rPr>
        <w:t xml:space="preserve"> packet as shown in</w:t>
      </w:r>
      <w:r>
        <w:t xml:space="preserve"> </w:t>
      </w:r>
      <w:r>
        <w:fldChar w:fldCharType="begin"/>
      </w:r>
      <w:r>
        <w:instrText xml:space="preserve"> </w:instrText>
      </w:r>
      <w:r>
        <w:rPr>
          <w:rFonts w:hint="eastAsia"/>
        </w:rPr>
        <w:instrText xml:space="preserve">REF _Ref101629361 \h</w:instrText>
      </w:r>
      <w:r>
        <w:instrText xml:space="preserve"> </w:instrText>
      </w:r>
      <w:r>
        <w:fldChar w:fldCharType="separate"/>
      </w:r>
      <w:r>
        <w:t xml:space="preserve">Figure </w:t>
      </w:r>
      <w:r>
        <w:rPr>
          <w:rFonts w:hint="eastAsia"/>
        </w:rPr>
        <w:t>3.</w:t>
      </w:r>
      <w:r>
        <w:t xml:space="preserve"> </w:t>
      </w:r>
      <w:r>
        <w:fldChar w:fldCharType="end"/>
      </w:r>
      <w:r>
        <w:rPr>
          <w:rFonts w:hint="eastAsia"/>
        </w:rPr>
        <w:t>That is,</w:t>
      </w:r>
      <w:r>
        <w:t xml:space="preserve"> </w:t>
      </w:r>
      <w:r>
        <w:rPr>
          <w:rFonts w:hint="eastAsia"/>
        </w:rPr>
        <w:t xml:space="preserve">if a </w:t>
      </w:r>
      <w:r>
        <w:t xml:space="preserve">data </w:t>
      </w:r>
      <w:r>
        <w:rPr>
          <w:rFonts w:hint="eastAsia"/>
        </w:rPr>
        <w:t xml:space="preserve">packet arrives earlier than the DRX On </w:t>
      </w:r>
      <w:r>
        <w:t>because</w:t>
      </w:r>
      <w:r>
        <w:rPr>
          <w:rFonts w:hint="eastAsia"/>
        </w:rPr>
        <w:t xml:space="preserve"> of jitter, the </w:t>
      </w:r>
      <w:r>
        <w:t xml:space="preserve">data </w:t>
      </w:r>
      <w:r>
        <w:rPr>
          <w:rFonts w:hint="eastAsia"/>
        </w:rPr>
        <w:t xml:space="preserve">packet can be scheduled immediately when UE starts drx-OndurationTimer. If a </w:t>
      </w:r>
      <w:r>
        <w:t xml:space="preserve">data </w:t>
      </w:r>
      <w:r>
        <w:rPr>
          <w:rFonts w:hint="eastAsia"/>
        </w:rPr>
        <w:t>packet arrives later than the</w:t>
      </w:r>
      <w:r>
        <w:t xml:space="preserve"> end of</w:t>
      </w:r>
      <w:r>
        <w:rPr>
          <w:rFonts w:hint="eastAsia"/>
        </w:rPr>
        <w:t xml:space="preserve"> DRX On, an additional active time can be activated for this </w:t>
      </w:r>
      <w:r>
        <w:t xml:space="preserve">data </w:t>
      </w:r>
      <w:r>
        <w:rPr>
          <w:rFonts w:hint="eastAsia"/>
        </w:rPr>
        <w:t xml:space="preserve">packet. Since the additional active time will not always be activated, the power consumption caused by the additional active time will not increase </w:t>
      </w:r>
      <w:r>
        <w:t>obviously</w:t>
      </w:r>
      <w:r>
        <w:rPr>
          <w:rFonts w:hint="eastAsia"/>
        </w:rPr>
        <w:t>.</w:t>
      </w:r>
    </w:p>
    <w:p>
      <w:pPr>
        <w:spacing w:before="120" w:after="120"/>
        <w:jc w:val="center"/>
      </w:pPr>
      <w:r>
        <w:drawing>
          <wp:inline distT="0" distB="0" distL="114300" distR="114300">
            <wp:extent cx="4744720" cy="1395095"/>
            <wp:effectExtent l="0" t="0" r="17780" b="1460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2"/>
                    <a:stretch>
                      <a:fillRect/>
                    </a:stretch>
                  </pic:blipFill>
                  <pic:spPr>
                    <a:xfrm>
                      <a:off x="0" y="0"/>
                      <a:ext cx="4744720" cy="1395095"/>
                    </a:xfrm>
                    <a:prstGeom prst="rect">
                      <a:avLst/>
                    </a:prstGeom>
                    <a:noFill/>
                    <a:ln>
                      <a:noFill/>
                    </a:ln>
                  </pic:spPr>
                </pic:pic>
              </a:graphicData>
            </a:graphic>
          </wp:inline>
        </w:drawing>
      </w:r>
    </w:p>
    <w:p>
      <w:pPr>
        <w:pStyle w:val="14"/>
        <w:spacing w:before="120" w:after="120"/>
        <w:jc w:val="center"/>
        <w:rPr>
          <w:rFonts w:ascii="Times New Roman" w:hAnsi="Times New Roman"/>
        </w:rPr>
      </w:pPr>
      <w:bookmarkStart w:id="32" w:name="_Ref101629361"/>
      <w:r>
        <w:rPr>
          <w:rFonts w:ascii="Times New Roman" w:hAnsi="Times New Roman"/>
        </w:rPr>
        <w:t xml:space="preserve">Figure </w:t>
      </w:r>
      <w:r>
        <w:rPr>
          <w:rFonts w:hint="eastAsia" w:ascii="Times New Roman" w:hAnsi="Times New Roman"/>
        </w:rPr>
        <w:t>3</w:t>
      </w:r>
      <w:r>
        <w:rPr>
          <w:rFonts w:ascii="Times New Roman" w:hAnsi="Times New Roman"/>
        </w:rPr>
        <w:t xml:space="preserve"> </w:t>
      </w:r>
      <w:bookmarkEnd w:id="32"/>
      <w:r>
        <w:rPr>
          <w:rFonts w:ascii="Times New Roman" w:hAnsi="Times New Roman"/>
        </w:rPr>
        <w:t>Flexible additional PDCCH monitoring</w:t>
      </w:r>
    </w:p>
    <w:p>
      <w:pPr>
        <w:spacing w:before="120" w:after="120"/>
      </w:pPr>
      <w:r>
        <w:rPr>
          <w:rFonts w:hint="eastAsia"/>
        </w:rPr>
        <w:t xml:space="preserve">For </w:t>
      </w:r>
      <w:r>
        <w:t>the second</w:t>
      </w:r>
      <w:r>
        <w:rPr>
          <w:rFonts w:hint="eastAsia"/>
        </w:rPr>
        <w:t xml:space="preserve"> </w:t>
      </w:r>
      <w:r>
        <w:t>solution</w:t>
      </w:r>
      <w:r>
        <w:rPr>
          <w:rFonts w:hint="eastAsia"/>
        </w:rPr>
        <w:t xml:space="preserve">, UE needs to monitor multiple WUS during outside active time and </w:t>
      </w:r>
      <w:r>
        <w:t>be wakened</w:t>
      </w:r>
      <w:r>
        <w:rPr>
          <w:rFonts w:hint="eastAsia"/>
        </w:rPr>
        <w:t xml:space="preserve"> up if a packet </w:t>
      </w:r>
      <w:r>
        <w:t>arrives e.g., at gNB side</w:t>
      </w:r>
      <w:r>
        <w:rPr>
          <w:rFonts w:hint="eastAsia"/>
        </w:rPr>
        <w:t>. The latency and power saving gain are highly dependent on the design of WUS</w:t>
      </w:r>
      <w:r>
        <w:t xml:space="preserve"> </w:t>
      </w:r>
      <w:r>
        <w:rPr>
          <w:rFonts w:hint="eastAsia"/>
        </w:rPr>
        <w:t xml:space="preserve">(e.g., the periodicity of WUS, the signal of the WUS) and </w:t>
      </w:r>
      <w:r>
        <w:t>would be critical in this regard</w:t>
      </w:r>
      <w:r>
        <w:rPr>
          <w:rFonts w:hint="eastAsia"/>
        </w:rPr>
        <w:t xml:space="preserve">. To decrease the latency, the start position of a drx-onDurationTimer needs to </w:t>
      </w:r>
      <w:r>
        <w:t xml:space="preserve">be </w:t>
      </w:r>
      <w:r>
        <w:rPr>
          <w:rFonts w:hint="eastAsia"/>
        </w:rPr>
        <w:t>change</w:t>
      </w:r>
      <w:r>
        <w:t>d by</w:t>
      </w:r>
      <w:r>
        <w:rPr>
          <w:rFonts w:hint="eastAsia"/>
        </w:rPr>
        <w:t xml:space="preserve"> WUS which is different from current CDRX procedure.</w:t>
      </w:r>
    </w:p>
    <w:p>
      <w:pPr>
        <w:pStyle w:val="39"/>
        <w:spacing w:before="120" w:after="120"/>
        <w:jc w:val="both"/>
        <w:rPr>
          <w:i w:val="0"/>
          <w:iCs w:val="0"/>
        </w:rPr>
      </w:pPr>
      <w:bookmarkStart w:id="33" w:name="_Toc17450"/>
      <w:bookmarkStart w:id="34" w:name="_Toc21508"/>
      <w:bookmarkStart w:id="35" w:name="_Toc28106"/>
      <w:bookmarkStart w:id="36" w:name="_Toc2807"/>
      <w:r>
        <w:rPr>
          <w:i w:val="0"/>
          <w:iCs w:val="0"/>
        </w:rPr>
        <w:t>Enhancements of handling jitter through introducing flexible additional PDCCH monitoring, or introducing a new wake up signal can be studied.</w:t>
      </w:r>
      <w:bookmarkEnd w:id="33"/>
      <w:bookmarkEnd w:id="34"/>
      <w:bookmarkEnd w:id="35"/>
      <w:bookmarkEnd w:id="36"/>
    </w:p>
    <w:p>
      <w:pPr>
        <w:tabs>
          <w:tab w:val="left" w:pos="407"/>
        </w:tabs>
        <w:spacing w:before="120" w:after="120"/>
      </w:pPr>
      <w:r>
        <w:rPr>
          <w:rFonts w:hint="eastAsia"/>
        </w:rPr>
        <w:tab/>
      </w:r>
    </w:p>
    <w:p>
      <w:pPr>
        <w:pStyle w:val="3"/>
        <w:spacing w:before="120" w:after="120"/>
        <w:ind w:left="209" w:right="210" w:hanging="208" w:hangingChars="87"/>
        <w:rPr>
          <w:rFonts w:ascii="Times New Roman" w:hAnsi="Times New Roman"/>
          <w:sz w:val="24"/>
          <w:szCs w:val="24"/>
        </w:rPr>
      </w:pPr>
      <w:r>
        <w:rPr>
          <w:rFonts w:hint="eastAsia" w:ascii="Times New Roman" w:hAnsi="Times New Roman" w:eastAsia="宋体"/>
          <w:sz w:val="24"/>
          <w:szCs w:val="24"/>
        </w:rPr>
        <w:t>UL power saving scheme</w:t>
      </w:r>
    </w:p>
    <w:p>
      <w:pPr>
        <w:tabs>
          <w:tab w:val="left" w:pos="407"/>
        </w:tabs>
        <w:spacing w:before="120" w:after="120"/>
      </w:pPr>
      <w:r>
        <w:rPr>
          <w:rFonts w:hint="eastAsia"/>
        </w:rPr>
        <w:t xml:space="preserve">The impact of UL signaling on power consumption should also be considered except the DL power saving scheme. If the UL signaling transmitted irrelevant with the DL signaling, </w:t>
      </w:r>
      <w:r>
        <w:t>the sum of</w:t>
      </w:r>
      <w:r>
        <w:rPr>
          <w:rFonts w:hint="eastAsia"/>
        </w:rPr>
        <w:t xml:space="preserve"> power consumption will be increased. For example, if UE transmits a SR outside DRX active time, UE will wake up and monitor PDCCH for potential UL grant, and increase the monitoring occasion of PDCCH. Therefore, UL power saving scheme should also be considered, especially </w:t>
      </w:r>
      <w:r>
        <w:t xml:space="preserve">regarding </w:t>
      </w:r>
      <w:r>
        <w:rPr>
          <w:rFonts w:hint="eastAsia"/>
        </w:rPr>
        <w:t xml:space="preserve">DL &amp; UL alignment schemes. Some UL power saving schemes and corresponding evaluation results are provided in </w:t>
      </w:r>
      <w:r>
        <w:t xml:space="preserve">our companion contribution </w:t>
      </w:r>
      <w:r>
        <w:rPr>
          <w:rFonts w:hint="eastAsia"/>
        </w:rPr>
        <w:t>[5].</w:t>
      </w:r>
    </w:p>
    <w:p>
      <w:pPr>
        <w:pStyle w:val="39"/>
        <w:spacing w:before="120" w:after="120"/>
        <w:jc w:val="both"/>
        <w:rPr>
          <w:i w:val="0"/>
          <w:iCs w:val="0"/>
        </w:rPr>
      </w:pPr>
      <w:bookmarkStart w:id="37" w:name="_Toc17420"/>
      <w:bookmarkStart w:id="38" w:name="_Toc12223"/>
      <w:bookmarkStart w:id="39" w:name="_Toc20178"/>
      <w:bookmarkStart w:id="40" w:name="_Toc23981"/>
      <w:r>
        <w:rPr>
          <w:i w:val="0"/>
          <w:iCs w:val="0"/>
        </w:rPr>
        <w:t>For UL, power saving schemes and corresponding evaluations should be considered.</w:t>
      </w:r>
      <w:bookmarkEnd w:id="37"/>
      <w:bookmarkEnd w:id="38"/>
      <w:bookmarkEnd w:id="39"/>
      <w:bookmarkEnd w:id="40"/>
    </w:p>
    <w:p>
      <w:pPr>
        <w:tabs>
          <w:tab w:val="left" w:pos="407"/>
        </w:tabs>
        <w:spacing w:before="120" w:after="120"/>
      </w:pPr>
    </w:p>
    <w:p>
      <w:pPr>
        <w:pStyle w:val="2"/>
        <w:spacing w:before="120" w:after="120"/>
        <w:ind w:left="0"/>
        <w:rPr>
          <w:rFonts w:ascii="Times New Roman" w:hAnsi="Times New Roman"/>
          <w:sz w:val="21"/>
        </w:rPr>
      </w:pPr>
      <w:r>
        <w:rPr>
          <w:rFonts w:hint="eastAsia" w:ascii="Times New Roman" w:hAnsi="Times New Roman" w:eastAsia="宋体"/>
          <w:b/>
          <w:bCs/>
          <w:sz w:val="24"/>
          <w:szCs w:val="24"/>
        </w:rPr>
        <w:t>Evaluation results</w:t>
      </w:r>
    </w:p>
    <w:p>
      <w:pPr>
        <w:spacing w:before="120" w:after="120"/>
        <w:rPr>
          <w:rFonts w:eastAsiaTheme="minorEastAsia"/>
        </w:rPr>
      </w:pPr>
      <w:r>
        <w:rPr>
          <w:rFonts w:hint="eastAsia"/>
        </w:rPr>
        <w:t>In this section, the evaluation results of the potential enhancements are provided.</w:t>
      </w:r>
      <w:r>
        <w:t xml:space="preserve"> </w:t>
      </w:r>
      <w:r>
        <w:rPr>
          <w:rFonts w:eastAsiaTheme="minorEastAsia"/>
        </w:rPr>
        <w:t xml:space="preserve">Following assumptions are adopted in the evaluation of power consumption, which is </w:t>
      </w:r>
      <w:r>
        <w:t>i</w:t>
      </w:r>
      <w:r>
        <w:rPr>
          <w:rFonts w:eastAsiaTheme="minorEastAsia"/>
        </w:rPr>
        <w:t>n line with TR 38.838.</w:t>
      </w:r>
    </w:p>
    <w:p>
      <w:pPr>
        <w:numPr>
          <w:ilvl w:val="0"/>
          <w:numId w:val="10"/>
        </w:numPr>
        <w:spacing w:before="120" w:after="120" w:line="256" w:lineRule="auto"/>
      </w:pPr>
      <w:r>
        <w:rPr>
          <w:rFonts w:hint="eastAsia"/>
        </w:rPr>
        <w:t xml:space="preserve">The power consumption results for both all UEs and satisfied UEs </w:t>
      </w:r>
      <w:r>
        <w:t>are</w:t>
      </w:r>
      <w:r>
        <w:rPr>
          <w:rFonts w:hint="eastAsia"/>
        </w:rPr>
        <w:t xml:space="preserve"> counted to comprehensively evaluate XR power </w:t>
      </w:r>
      <w:r>
        <w:t xml:space="preserve">consumption </w:t>
      </w:r>
      <w:r>
        <w:rPr>
          <w:rFonts w:hint="eastAsia"/>
        </w:rPr>
        <w:t xml:space="preserve">performance. </w:t>
      </w:r>
    </w:p>
    <w:p>
      <w:pPr>
        <w:numPr>
          <w:ilvl w:val="0"/>
          <w:numId w:val="11"/>
        </w:numPr>
        <w:spacing w:before="120" w:after="120" w:line="256" w:lineRule="auto"/>
      </w:pPr>
      <w:r>
        <w:rPr>
          <w:rFonts w:hint="eastAsia"/>
        </w:rPr>
        <w:t>S</w:t>
      </w:r>
      <w:r>
        <w:t xml:space="preserve">tep function with </w:t>
      </w:r>
      <w:r>
        <w:rPr>
          <w:rFonts w:hint="eastAsia"/>
        </w:rPr>
        <w:t xml:space="preserve">only two </w:t>
      </w:r>
      <w:r>
        <w:t xml:space="preserve">transmission </w:t>
      </w:r>
      <w:r>
        <w:rPr>
          <w:rFonts w:hint="eastAsia"/>
        </w:rPr>
        <w:t xml:space="preserve">power values is used </w:t>
      </w:r>
      <w:r>
        <w:t>for</w:t>
      </w:r>
      <w:r>
        <w:rPr>
          <w:rFonts w:hint="eastAsia"/>
        </w:rPr>
        <w:t xml:space="preserve"> UL power</w:t>
      </w:r>
      <w:r>
        <w:t xml:space="preserve"> consumption</w:t>
      </w:r>
      <w:r>
        <w:rPr>
          <w:rFonts w:hint="eastAsia"/>
        </w:rPr>
        <w:t>.</w:t>
      </w:r>
    </w:p>
    <w:p>
      <w:pPr>
        <w:numPr>
          <w:ilvl w:val="1"/>
          <w:numId w:val="12"/>
        </w:numPr>
        <w:spacing w:before="120" w:after="120" w:line="256" w:lineRule="auto"/>
      </w:pPr>
      <w:r>
        <w:t>Step function: power number is given as A for X= [0, 20]dBm and B for X =(20, 23] dBm, where A and B (defined in 38.840) correspond to power consumption value for a given uplink slot for 0dBm and 23dBm, respectively</w:t>
      </w:r>
      <w:r>
        <w:rPr>
          <w:rFonts w:hint="eastAsia"/>
        </w:rPr>
        <w:t xml:space="preserve"> </w:t>
      </w:r>
    </w:p>
    <w:p>
      <w:pPr>
        <w:numPr>
          <w:ilvl w:val="0"/>
          <w:numId w:val="13"/>
        </w:numPr>
        <w:spacing w:before="120" w:after="120" w:line="256" w:lineRule="auto"/>
      </w:pPr>
      <w:r>
        <w:rPr>
          <w:rFonts w:hint="eastAsia"/>
        </w:rPr>
        <w:t>The same number of UE</w:t>
      </w:r>
      <w:r>
        <w:t>s</w:t>
      </w:r>
      <w:r>
        <w:rPr>
          <w:rFonts w:hint="eastAsia"/>
        </w:rPr>
        <w:t xml:space="preserve"> per cell </w:t>
      </w:r>
      <w:r>
        <w:t>is</w:t>
      </w:r>
      <w:r>
        <w:rPr>
          <w:rFonts w:hint="eastAsia"/>
        </w:rPr>
        <w:t xml:space="preserve"> used in baseline</w:t>
      </w:r>
      <w:r>
        <w:t>.</w:t>
      </w:r>
      <w:r>
        <w:rPr>
          <w:rFonts w:hint="eastAsia"/>
        </w:rPr>
        <w:t xml:space="preserve"> </w:t>
      </w:r>
      <w:r>
        <w:t>A</w:t>
      </w:r>
      <w:r>
        <w:rPr>
          <w:rFonts w:hint="eastAsia"/>
        </w:rPr>
        <w:t xml:space="preserve">nd power saving schemes </w:t>
      </w:r>
      <w:r>
        <w:t>along with</w:t>
      </w:r>
      <w:r>
        <w:rPr>
          <w:rFonts w:hint="eastAsia"/>
        </w:rPr>
        <w:t xml:space="preserve"> the </w:t>
      </w:r>
      <w:r>
        <w:t>metric of</w:t>
      </w:r>
      <w:r>
        <w:rPr>
          <w:rFonts w:hint="eastAsia"/>
        </w:rPr>
        <w:t xml:space="preserve"> capacity are reported.</w:t>
      </w:r>
    </w:p>
    <w:p>
      <w:pPr>
        <w:numPr>
          <w:ilvl w:val="0"/>
          <w:numId w:val="13"/>
        </w:numPr>
        <w:spacing w:before="120" w:after="120" w:line="256" w:lineRule="auto"/>
      </w:pPr>
      <w:r>
        <w:t>More details about</w:t>
      </w:r>
      <w:r>
        <w:rPr>
          <w:rFonts w:hint="eastAsia"/>
        </w:rPr>
        <w:t xml:space="preserve"> simulation parameters and power models are shown in Appendix.</w:t>
      </w:r>
    </w:p>
    <w:p>
      <w:pPr>
        <w:pStyle w:val="45"/>
        <w:numPr>
          <w:ilvl w:val="255"/>
          <w:numId w:val="0"/>
        </w:numPr>
        <w:spacing w:before="120" w:after="120" w:line="256" w:lineRule="auto"/>
      </w:pPr>
    </w:p>
    <w:p>
      <w:pPr>
        <w:spacing w:before="120" w:after="120" w:line="256" w:lineRule="auto"/>
      </w:pPr>
      <w:r>
        <w:rPr>
          <w:rFonts w:hint="eastAsia"/>
        </w:rPr>
        <w:t xml:space="preserve">For </w:t>
      </w:r>
      <w:r>
        <w:t xml:space="preserve">the evaluation of </w:t>
      </w:r>
      <w:r>
        <w:rPr>
          <w:rFonts w:hint="eastAsia"/>
        </w:rPr>
        <w:t>power</w:t>
      </w:r>
      <w:r>
        <w:t xml:space="preserve"> </w:t>
      </w:r>
      <w:r>
        <w:rPr>
          <w:rFonts w:hint="eastAsia"/>
        </w:rPr>
        <w:t>consumption</w:t>
      </w:r>
      <w:r>
        <w:t xml:space="preserve"> of </w:t>
      </w:r>
      <w:r>
        <w:rPr>
          <w:rFonts w:hint="eastAsia"/>
        </w:rPr>
        <w:t xml:space="preserve">the above schemes, </w:t>
      </w:r>
      <w:r>
        <w:t>the</w:t>
      </w:r>
      <w:r>
        <w:rPr>
          <w:rFonts w:hint="eastAsia"/>
        </w:rPr>
        <w:t xml:space="preserve"> results of</w:t>
      </w:r>
      <w:r>
        <w:t xml:space="preserve"> </w:t>
      </w:r>
      <w:r>
        <w:rPr>
          <w:rFonts w:hint="eastAsia"/>
        </w:rPr>
        <w:t xml:space="preserve">joint UL&amp;DL and DL only are provided. </w:t>
      </w:r>
      <w:r>
        <w:t xml:space="preserve">The traffic models used for power consumption evaluation are presented in </w:t>
      </w:r>
      <w:r>
        <w:rPr>
          <w:bCs/>
        </w:rPr>
        <w:t xml:space="preserve">Table </w:t>
      </w:r>
      <w:r>
        <w:rPr>
          <w:rFonts w:hint="eastAsia"/>
          <w:bCs/>
        </w:rPr>
        <w:t>1</w:t>
      </w:r>
      <w:r>
        <w:t>.</w:t>
      </w:r>
    </w:p>
    <w:p>
      <w:pPr>
        <w:spacing w:before="120" w:after="120" w:line="256" w:lineRule="auto"/>
        <w:jc w:val="center"/>
      </w:pPr>
      <w:r>
        <w:t xml:space="preserve">Table </w:t>
      </w:r>
      <w:r>
        <w:rPr>
          <w:rFonts w:hint="eastAsia"/>
        </w:rPr>
        <w:t>1</w:t>
      </w:r>
      <w:r>
        <w:t xml:space="preserve"> Traffic models for power consumption evaluation</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0"/>
        <w:gridCol w:w="1277"/>
        <w:gridCol w:w="1178"/>
        <w:gridCol w:w="1677"/>
        <w:gridCol w:w="1644"/>
        <w:gridCol w:w="1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b/>
                <w:bCs/>
                <w:sz w:val="20"/>
                <w:szCs w:val="18"/>
              </w:rPr>
            </w:pPr>
            <w:r>
              <w:rPr>
                <w:b/>
                <w:bCs/>
                <w:sz w:val="20"/>
                <w:szCs w:val="18"/>
              </w:rPr>
              <w:t>Traffic Model No.</w:t>
            </w:r>
          </w:p>
        </w:tc>
        <w:tc>
          <w:tcPr>
            <w:tcW w:w="0" w:type="auto"/>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b/>
                <w:bCs/>
                <w:sz w:val="20"/>
                <w:szCs w:val="18"/>
              </w:rPr>
            </w:pPr>
            <w:r>
              <w:rPr>
                <w:b/>
                <w:bCs/>
                <w:sz w:val="20"/>
                <w:szCs w:val="18"/>
              </w:rPr>
              <w:t>Mean (Byte)</w:t>
            </w:r>
          </w:p>
        </w:tc>
        <w:tc>
          <w:tcPr>
            <w:tcW w:w="0" w:type="auto"/>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b/>
                <w:bCs/>
                <w:sz w:val="20"/>
                <w:szCs w:val="18"/>
              </w:rPr>
            </w:pPr>
            <w:r>
              <w:rPr>
                <w:b/>
                <w:bCs/>
                <w:sz w:val="20"/>
                <w:szCs w:val="18"/>
              </w:rPr>
              <w:t>STD (Byte)</w:t>
            </w:r>
          </w:p>
        </w:tc>
        <w:tc>
          <w:tcPr>
            <w:tcW w:w="0" w:type="auto"/>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b/>
                <w:bCs/>
                <w:sz w:val="20"/>
                <w:szCs w:val="18"/>
              </w:rPr>
            </w:pPr>
            <w:r>
              <w:rPr>
                <w:b/>
                <w:bCs/>
                <w:sz w:val="20"/>
                <w:szCs w:val="18"/>
              </w:rPr>
              <w:t>Maximum (Byte)</w:t>
            </w:r>
          </w:p>
        </w:tc>
        <w:tc>
          <w:tcPr>
            <w:tcW w:w="0" w:type="auto"/>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b/>
                <w:bCs/>
                <w:sz w:val="20"/>
                <w:szCs w:val="18"/>
              </w:rPr>
            </w:pPr>
            <w:r>
              <w:rPr>
                <w:b/>
                <w:bCs/>
                <w:sz w:val="20"/>
                <w:szCs w:val="18"/>
              </w:rPr>
              <w:t>Minimum (Byte)</w:t>
            </w:r>
          </w:p>
        </w:tc>
        <w:tc>
          <w:tcPr>
            <w:tcW w:w="1129" w:type="dxa"/>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b/>
                <w:bCs/>
                <w:sz w:val="20"/>
                <w:szCs w:val="18"/>
              </w:rPr>
            </w:pPr>
            <w:r>
              <w:rPr>
                <w:rFonts w:hint="eastAsia"/>
                <w:b/>
                <w:bCs/>
                <w:sz w:val="20"/>
                <w:szCs w:val="18"/>
              </w:rPr>
              <w:t>PDB(ms)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sz w:val="20"/>
                <w:szCs w:val="18"/>
              </w:rPr>
            </w:pPr>
            <w:r>
              <w:rPr>
                <w:rFonts w:hint="eastAsia"/>
                <w:sz w:val="20"/>
                <w:szCs w:val="18"/>
              </w:rPr>
              <w:t>VR30M</w:t>
            </w:r>
          </w:p>
        </w:tc>
        <w:tc>
          <w:tcPr>
            <w:tcW w:w="0" w:type="auto"/>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sz w:val="20"/>
                <w:szCs w:val="18"/>
              </w:rPr>
            </w:pPr>
            <w:r>
              <w:rPr>
                <w:sz w:val="20"/>
                <w:szCs w:val="18"/>
              </w:rPr>
              <w:t>62500</w:t>
            </w:r>
          </w:p>
        </w:tc>
        <w:tc>
          <w:tcPr>
            <w:tcW w:w="0" w:type="auto"/>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sz w:val="20"/>
                <w:szCs w:val="18"/>
              </w:rPr>
            </w:pPr>
            <w:r>
              <w:rPr>
                <w:sz w:val="20"/>
                <w:szCs w:val="18"/>
              </w:rPr>
              <w:t>6563</w:t>
            </w:r>
          </w:p>
        </w:tc>
        <w:tc>
          <w:tcPr>
            <w:tcW w:w="0" w:type="auto"/>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sz w:val="20"/>
                <w:szCs w:val="18"/>
              </w:rPr>
            </w:pPr>
            <w:r>
              <w:rPr>
                <w:sz w:val="20"/>
                <w:szCs w:val="18"/>
              </w:rPr>
              <w:t>93750</w:t>
            </w:r>
          </w:p>
        </w:tc>
        <w:tc>
          <w:tcPr>
            <w:tcW w:w="0" w:type="auto"/>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sz w:val="20"/>
                <w:szCs w:val="18"/>
              </w:rPr>
            </w:pPr>
            <w:r>
              <w:rPr>
                <w:sz w:val="20"/>
                <w:szCs w:val="18"/>
              </w:rPr>
              <w:t>31250</w:t>
            </w:r>
          </w:p>
        </w:tc>
        <w:tc>
          <w:tcPr>
            <w:tcW w:w="1129" w:type="dxa"/>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sz w:val="20"/>
                <w:szCs w:val="18"/>
              </w:rPr>
            </w:pPr>
            <w:r>
              <w:rPr>
                <w:rFonts w:hint="eastAsia"/>
                <w:sz w:val="20"/>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sz w:val="20"/>
                <w:szCs w:val="18"/>
              </w:rPr>
            </w:pPr>
            <w:r>
              <w:rPr>
                <w:rFonts w:hint="eastAsia"/>
                <w:sz w:val="20"/>
                <w:szCs w:val="18"/>
              </w:rPr>
              <w:t>CG30M</w:t>
            </w:r>
          </w:p>
        </w:tc>
        <w:tc>
          <w:tcPr>
            <w:tcW w:w="0" w:type="auto"/>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sz w:val="20"/>
                <w:szCs w:val="18"/>
              </w:rPr>
            </w:pPr>
            <w:r>
              <w:rPr>
                <w:sz w:val="20"/>
                <w:szCs w:val="18"/>
              </w:rPr>
              <w:t>62500</w:t>
            </w:r>
          </w:p>
        </w:tc>
        <w:tc>
          <w:tcPr>
            <w:tcW w:w="0" w:type="auto"/>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sz w:val="20"/>
                <w:szCs w:val="18"/>
              </w:rPr>
            </w:pPr>
            <w:r>
              <w:rPr>
                <w:sz w:val="20"/>
                <w:szCs w:val="18"/>
              </w:rPr>
              <w:t>6563</w:t>
            </w:r>
          </w:p>
        </w:tc>
        <w:tc>
          <w:tcPr>
            <w:tcW w:w="0" w:type="auto"/>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sz w:val="20"/>
                <w:szCs w:val="18"/>
              </w:rPr>
            </w:pPr>
            <w:r>
              <w:rPr>
                <w:sz w:val="20"/>
                <w:szCs w:val="18"/>
              </w:rPr>
              <w:t>93750</w:t>
            </w:r>
          </w:p>
        </w:tc>
        <w:tc>
          <w:tcPr>
            <w:tcW w:w="0" w:type="auto"/>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sz w:val="20"/>
                <w:szCs w:val="18"/>
              </w:rPr>
            </w:pPr>
            <w:r>
              <w:rPr>
                <w:sz w:val="20"/>
                <w:szCs w:val="18"/>
              </w:rPr>
              <w:t>31250</w:t>
            </w:r>
          </w:p>
        </w:tc>
        <w:tc>
          <w:tcPr>
            <w:tcW w:w="1129" w:type="dxa"/>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sz w:val="20"/>
                <w:szCs w:val="18"/>
              </w:rPr>
            </w:pPr>
            <w:r>
              <w:rPr>
                <w:rFonts w:hint="eastAsia"/>
                <w:sz w:val="20"/>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sz w:val="20"/>
                <w:szCs w:val="18"/>
              </w:rPr>
            </w:pPr>
            <w:r>
              <w:rPr>
                <w:rFonts w:hint="eastAsia"/>
                <w:sz w:val="20"/>
                <w:szCs w:val="18"/>
              </w:rPr>
              <w:t>VR45M</w:t>
            </w:r>
          </w:p>
        </w:tc>
        <w:tc>
          <w:tcPr>
            <w:tcW w:w="0" w:type="auto"/>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sz w:val="20"/>
                <w:szCs w:val="18"/>
              </w:rPr>
            </w:pPr>
            <w:r>
              <w:rPr>
                <w:sz w:val="20"/>
                <w:szCs w:val="18"/>
              </w:rPr>
              <w:t>93750</w:t>
            </w:r>
          </w:p>
        </w:tc>
        <w:tc>
          <w:tcPr>
            <w:tcW w:w="0" w:type="auto"/>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sz w:val="20"/>
                <w:szCs w:val="18"/>
              </w:rPr>
            </w:pPr>
            <w:r>
              <w:rPr>
                <w:sz w:val="20"/>
                <w:szCs w:val="18"/>
              </w:rPr>
              <w:t>9844</w:t>
            </w:r>
          </w:p>
        </w:tc>
        <w:tc>
          <w:tcPr>
            <w:tcW w:w="0" w:type="auto"/>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sz w:val="20"/>
                <w:szCs w:val="18"/>
              </w:rPr>
            </w:pPr>
            <w:r>
              <w:rPr>
                <w:sz w:val="20"/>
                <w:szCs w:val="18"/>
              </w:rPr>
              <w:t>140625</w:t>
            </w:r>
          </w:p>
        </w:tc>
        <w:tc>
          <w:tcPr>
            <w:tcW w:w="0" w:type="auto"/>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sz w:val="20"/>
                <w:szCs w:val="18"/>
              </w:rPr>
            </w:pPr>
            <w:r>
              <w:rPr>
                <w:sz w:val="20"/>
                <w:szCs w:val="18"/>
              </w:rPr>
              <w:t>46875</w:t>
            </w:r>
          </w:p>
        </w:tc>
        <w:tc>
          <w:tcPr>
            <w:tcW w:w="1129" w:type="dxa"/>
            <w:tcBorders>
              <w:top w:val="single" w:color="auto" w:sz="4" w:space="0"/>
              <w:left w:val="single" w:color="auto" w:sz="4" w:space="0"/>
              <w:bottom w:val="single" w:color="auto" w:sz="4" w:space="0"/>
              <w:right w:val="single" w:color="auto" w:sz="4" w:space="0"/>
            </w:tcBorders>
          </w:tcPr>
          <w:p>
            <w:pPr>
              <w:widowControl w:val="0"/>
              <w:spacing w:before="0" w:beforeLines="0" w:after="0" w:afterLines="0" w:line="257" w:lineRule="auto"/>
              <w:jc w:val="center"/>
              <w:rPr>
                <w:sz w:val="20"/>
                <w:szCs w:val="18"/>
              </w:rPr>
            </w:pPr>
            <w:r>
              <w:rPr>
                <w:rFonts w:hint="eastAsia"/>
                <w:sz w:val="20"/>
                <w:szCs w:val="18"/>
              </w:rPr>
              <w:t>10</w:t>
            </w:r>
          </w:p>
        </w:tc>
      </w:tr>
    </w:tbl>
    <w:p>
      <w:pPr>
        <w:spacing w:before="120" w:after="120" w:line="256" w:lineRule="auto"/>
      </w:pPr>
      <w:r>
        <w:t>Next, following schemes are evaluated:</w:t>
      </w:r>
    </w:p>
    <w:p>
      <w:pPr>
        <w:numPr>
          <w:ilvl w:val="0"/>
          <w:numId w:val="14"/>
        </w:numPr>
        <w:spacing w:before="120" w:after="120" w:line="256" w:lineRule="auto"/>
      </w:pPr>
      <w:r>
        <w:rPr>
          <w:rFonts w:hint="eastAsia"/>
        </w:rPr>
        <w:t>Baseline (Always On): No power saving technique is applied, that is, UE is always in Active Time.</w:t>
      </w:r>
    </w:p>
    <w:p>
      <w:pPr>
        <w:numPr>
          <w:ilvl w:val="0"/>
          <w:numId w:val="14"/>
        </w:numPr>
        <w:spacing w:before="120" w:after="120" w:line="256" w:lineRule="auto"/>
      </w:pPr>
      <w:r>
        <w:rPr>
          <w:rFonts w:hint="eastAsia"/>
        </w:rPr>
        <w:t>R15 CDRX</w:t>
      </w:r>
    </w:p>
    <w:p>
      <w:pPr>
        <w:numPr>
          <w:ilvl w:val="0"/>
          <w:numId w:val="14"/>
        </w:numPr>
        <w:spacing w:before="120" w:after="120" w:line="256" w:lineRule="auto"/>
      </w:pPr>
      <w:r>
        <w:rPr>
          <w:rFonts w:hint="eastAsia"/>
        </w:rPr>
        <w:t xml:space="preserve">CDRX </w:t>
      </w:r>
      <w:r>
        <w:t>alignment</w:t>
      </w:r>
      <w:r>
        <w:rPr>
          <w:rFonts w:hint="eastAsia"/>
        </w:rPr>
        <w:t xml:space="preserve"> </w:t>
      </w:r>
    </w:p>
    <w:p>
      <w:pPr>
        <w:numPr>
          <w:ilvl w:val="1"/>
          <w:numId w:val="15"/>
        </w:numPr>
        <w:spacing w:before="120" w:after="120" w:line="256" w:lineRule="auto"/>
      </w:pPr>
      <w:r>
        <w:rPr>
          <w:rFonts w:hint="eastAsia"/>
        </w:rPr>
        <w:t>CDRX can align with the XR traffic every 50ms.</w:t>
      </w:r>
    </w:p>
    <w:p>
      <w:pPr>
        <w:numPr>
          <w:ilvl w:val="0"/>
          <w:numId w:val="15"/>
        </w:numPr>
        <w:spacing w:before="120" w:after="120" w:line="256" w:lineRule="auto"/>
      </w:pPr>
      <w:r>
        <w:rPr>
          <w:rFonts w:hint="eastAsia"/>
        </w:rPr>
        <w:t xml:space="preserve">Enhanced CDRX with flexible additional PDCCH monitoring. </w:t>
      </w:r>
    </w:p>
    <w:p>
      <w:pPr>
        <w:numPr>
          <w:ilvl w:val="1"/>
          <w:numId w:val="15"/>
        </w:numPr>
        <w:spacing w:before="120" w:after="120" w:line="256" w:lineRule="auto"/>
      </w:pPr>
      <w:r>
        <w:rPr>
          <w:rFonts w:hint="eastAsia"/>
        </w:rPr>
        <w:t>I</w:t>
      </w:r>
      <w:r>
        <w:t xml:space="preserve">t allows </w:t>
      </w:r>
      <w:r>
        <w:rPr>
          <w:rFonts w:hint="eastAsia"/>
        </w:rPr>
        <w:t xml:space="preserve">UE </w:t>
      </w:r>
      <w:r>
        <w:t xml:space="preserve">to </w:t>
      </w:r>
      <w:r>
        <w:rPr>
          <w:rFonts w:hint="eastAsia"/>
        </w:rPr>
        <w:t xml:space="preserve">wake up at a </w:t>
      </w:r>
      <w:r>
        <w:rPr>
          <w:szCs w:val="21"/>
        </w:rPr>
        <w:t>flexible additional PDCCH monitoring period</w:t>
      </w:r>
      <w:r>
        <w:rPr>
          <w:rFonts w:hint="eastAsia"/>
        </w:rPr>
        <w:t xml:space="preserve"> during DRX off state</w:t>
      </w:r>
      <w:r>
        <w:t xml:space="preserve"> in addition to the CDRX alignment. The length of the additional </w:t>
      </w:r>
      <w:r>
        <w:rPr>
          <w:szCs w:val="21"/>
        </w:rPr>
        <w:t>PDCCH monitoring</w:t>
      </w:r>
      <w:r>
        <w:rPr>
          <w:rFonts w:hint="eastAsia"/>
          <w:szCs w:val="21"/>
        </w:rPr>
        <w:t xml:space="preserve"> </w:t>
      </w:r>
      <w:r>
        <w:rPr>
          <w:szCs w:val="21"/>
        </w:rPr>
        <w:t>period</w:t>
      </w:r>
      <w:r>
        <w:rPr>
          <w:rFonts w:hint="eastAsia"/>
        </w:rPr>
        <w:t xml:space="preserve"> </w:t>
      </w:r>
      <w:r>
        <w:t>is 4ms in the simulation.</w:t>
      </w:r>
    </w:p>
    <w:p>
      <w:pPr>
        <w:spacing w:before="120" w:after="120"/>
        <w:rPr>
          <w:sz w:val="24"/>
          <w:szCs w:val="24"/>
        </w:rPr>
      </w:pPr>
    </w:p>
    <w:p>
      <w:pPr>
        <w:pStyle w:val="3"/>
        <w:spacing w:before="120" w:after="120" w:line="260" w:lineRule="auto"/>
        <w:ind w:left="0" w:right="210"/>
        <w:rPr>
          <w:rFonts w:ascii="Times New Roman" w:hAnsi="Times New Roman"/>
          <w:sz w:val="24"/>
          <w:szCs w:val="24"/>
        </w:rPr>
      </w:pPr>
      <w:r>
        <w:rPr>
          <w:rFonts w:ascii="Times New Roman" w:hAnsi="Times New Roman"/>
          <w:sz w:val="24"/>
          <w:szCs w:val="24"/>
        </w:rPr>
        <w:t>FR1 InH DL</w:t>
      </w:r>
    </w:p>
    <w:p>
      <w:pPr>
        <w:spacing w:before="120" w:after="120"/>
      </w:pPr>
      <w:r>
        <w:t>O</w:t>
      </w:r>
      <w:r>
        <w:rPr>
          <w:rFonts w:hint="eastAsia"/>
        </w:rPr>
        <w:t>nly</w:t>
      </w:r>
      <w:r>
        <w:t xml:space="preserve"> </w:t>
      </w:r>
      <w:r>
        <w:rPr>
          <w:rFonts w:hint="eastAsia"/>
        </w:rPr>
        <w:t>DL state</w:t>
      </w:r>
      <w:r>
        <w:t>s are evaluated in this situation,</w:t>
      </w:r>
      <w:r>
        <w:rPr>
          <w:rFonts w:hint="eastAsia"/>
        </w:rPr>
        <w:t xml:space="preserve"> </w:t>
      </w:r>
      <w:r>
        <w:t>and</w:t>
      </w:r>
      <w:r>
        <w:rPr>
          <w:rFonts w:hint="eastAsia"/>
        </w:rPr>
        <w:t xml:space="preserve"> the state of UL slots </w:t>
      </w:r>
      <w:r>
        <w:t>is</w:t>
      </w:r>
      <w:r>
        <w:rPr>
          <w:rFonts w:hint="eastAsia"/>
        </w:rPr>
        <w:t xml:space="preserve"> set to </w:t>
      </w:r>
      <w:r>
        <w:t>“</w:t>
      </w:r>
      <w:r>
        <w:rPr>
          <w:rFonts w:hint="eastAsia"/>
        </w:rPr>
        <w:t>sleep state</w:t>
      </w:r>
      <w:r>
        <w:t>”</w:t>
      </w:r>
      <w:r>
        <w:rPr>
          <w:rFonts w:hint="eastAsia"/>
        </w:rPr>
        <w:t xml:space="preserve">. The power </w:t>
      </w:r>
      <w:r>
        <w:t xml:space="preserve">consumption </w:t>
      </w:r>
      <w:r>
        <w:rPr>
          <w:rFonts w:hint="eastAsia"/>
        </w:rPr>
        <w:t>results of DL</w:t>
      </w:r>
      <w:r>
        <w:t xml:space="preserve"> </w:t>
      </w:r>
      <w:r>
        <w:rPr>
          <w:rFonts w:hint="eastAsia"/>
        </w:rPr>
        <w:t>VR30M, CG30M</w:t>
      </w:r>
      <w:r>
        <w:t>,</w:t>
      </w:r>
      <w:r>
        <w:rPr>
          <w:rFonts w:hint="eastAsia"/>
        </w:rPr>
        <w:t xml:space="preserve"> VR45M traffic are shown in </w:t>
      </w:r>
      <w:r>
        <w:rPr>
          <w:rFonts w:hint="eastAsia"/>
          <w:bCs/>
        </w:rPr>
        <w:t>Tab</w:t>
      </w:r>
      <w:r>
        <w:rPr>
          <w:bCs/>
        </w:rPr>
        <w:t xml:space="preserve">le </w:t>
      </w:r>
      <w:r>
        <w:rPr>
          <w:rFonts w:hint="eastAsia"/>
          <w:bCs/>
        </w:rPr>
        <w:t>2</w:t>
      </w:r>
      <w:r>
        <w:rPr>
          <w:bCs/>
        </w:rPr>
        <w:t xml:space="preserve">~Table </w:t>
      </w:r>
      <w:r>
        <w:rPr>
          <w:rFonts w:hint="eastAsia"/>
          <w:bCs/>
        </w:rPr>
        <w:t>4</w:t>
      </w:r>
      <w:r>
        <w:rPr>
          <w:rFonts w:hint="eastAsia"/>
        </w:rPr>
        <w:t xml:space="preserve">. </w:t>
      </w:r>
    </w:p>
    <w:p>
      <w:pPr>
        <w:spacing w:before="120" w:after="120" w:line="256" w:lineRule="auto"/>
        <w:jc w:val="center"/>
      </w:pPr>
      <w:r>
        <w:rPr>
          <w:rFonts w:hint="eastAsia"/>
          <w:szCs w:val="22"/>
        </w:rPr>
        <w:t xml:space="preserve">Table 2 </w:t>
      </w:r>
      <w:r>
        <w:t xml:space="preserve">FR1 power consumption results in Indoor Hotspot scenario </w:t>
      </w:r>
      <w:r>
        <w:rPr>
          <w:rFonts w:hint="eastAsia"/>
        </w:rPr>
        <w:t>for VR30M</w:t>
      </w:r>
    </w:p>
    <w:tbl>
      <w:tblPr>
        <w:tblStyle w:val="27"/>
        <w:tblW w:w="0" w:type="auto"/>
        <w:jc w:val="center"/>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3"/>
        <w:gridCol w:w="979"/>
        <w:gridCol w:w="721"/>
        <w:gridCol w:w="661"/>
        <w:gridCol w:w="663"/>
        <w:gridCol w:w="1149"/>
        <w:gridCol w:w="1412"/>
        <w:gridCol w:w="1121"/>
        <w:gridCol w:w="1257"/>
      </w:tblGrid>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Borders>
              <w:left w:val="single" w:color="auto" w:sz="4" w:space="0"/>
            </w:tcBorders>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w:t>
            </w:r>
            <w:r>
              <w:rPr>
                <w:rFonts w:hint="eastAsia" w:ascii="Times New Roman" w:hAnsi="Times New Roman" w:cs="Times New Roman"/>
                <w:b/>
                <w:sz w:val="18"/>
                <w:szCs w:val="18"/>
              </w:rPr>
              <w:t xml:space="preserve"> </w:t>
            </w:r>
            <w:r>
              <w:rPr>
                <w:rFonts w:ascii="Times New Roman" w:hAnsi="Times New Roman" w:cs="Times New Roman"/>
                <w:b/>
                <w:sz w:val="18"/>
                <w:szCs w:val="18"/>
              </w:rPr>
              <w:t>of satisfied UE</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0" w:type="auto"/>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Always On</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1</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93.18%</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b/>
                <w:sz w:val="18"/>
                <w:szCs w:val="18"/>
              </w:rPr>
            </w:pPr>
            <w:r>
              <w:rPr>
                <w:rFonts w:ascii="Times New Roman" w:hAnsi="Times New Roman" w:cs="Times New Roman"/>
                <w:sz w:val="18"/>
                <w:szCs w:val="18"/>
              </w:rPr>
              <w:t>R15 CDRX</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0</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1</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1</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90.15%</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b/>
                <w:sz w:val="18"/>
                <w:szCs w:val="18"/>
              </w:rPr>
            </w:pPr>
            <w:r>
              <w:rPr>
                <w:rFonts w:ascii="Times New Roman" w:hAnsi="Times New Roman" w:cs="Times New Roman"/>
                <w:sz w:val="18"/>
                <w:szCs w:val="18"/>
              </w:rPr>
              <w:t>6.2%</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b/>
                <w:sz w:val="18"/>
                <w:szCs w:val="18"/>
              </w:rPr>
            </w:pPr>
            <w:r>
              <w:rPr>
                <w:rFonts w:ascii="Times New Roman" w:hAnsi="Times New Roman" w:cs="Times New Roman"/>
                <w:sz w:val="18"/>
                <w:szCs w:val="18"/>
              </w:rPr>
              <w:t>7.1%</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CDRX alignment</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1</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1</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90.15%</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33.8%</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35.4%</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eCDRX with flexible additional PDCCH monitoring</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1</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1</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91.67%</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29.8%</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31.78%</w:t>
            </w:r>
          </w:p>
        </w:tc>
      </w:tr>
    </w:tbl>
    <w:p>
      <w:pPr>
        <w:pStyle w:val="38"/>
        <w:numPr>
          <w:ilvl w:val="0"/>
          <w:numId w:val="0"/>
        </w:numPr>
        <w:spacing w:before="120" w:after="120" w:line="276" w:lineRule="auto"/>
        <w:jc w:val="both"/>
        <w:rPr>
          <w:i w:val="0"/>
          <w:iCs w:val="0"/>
        </w:rPr>
      </w:pPr>
      <w:bookmarkStart w:id="41" w:name="_Toc10997"/>
      <w:bookmarkStart w:id="42" w:name="_Toc27298"/>
      <w:bookmarkStart w:id="43" w:name="_Toc1615"/>
      <w:bookmarkStart w:id="44" w:name="_Toc87003974"/>
    </w:p>
    <w:p>
      <w:pPr>
        <w:pStyle w:val="38"/>
        <w:spacing w:before="120" w:after="120" w:line="276" w:lineRule="auto"/>
        <w:jc w:val="both"/>
        <w:rPr>
          <w:i w:val="0"/>
          <w:iCs w:val="0"/>
        </w:rPr>
      </w:pPr>
      <w:bookmarkStart w:id="45" w:name="_Toc8938"/>
      <w:r>
        <w:rPr>
          <w:i w:val="0"/>
          <w:iCs w:val="0"/>
        </w:rPr>
        <w:t xml:space="preserve">In FR1, DL only, </w:t>
      </w:r>
      <w:r>
        <w:rPr>
          <w:rFonts w:hint="eastAsia"/>
          <w:i w:val="0"/>
          <w:iCs w:val="0"/>
          <w:lang w:val="en-US" w:eastAsia="zh-CN"/>
        </w:rPr>
        <w:t>InH</w:t>
      </w:r>
      <w:r>
        <w:rPr>
          <w:i w:val="0"/>
          <w:iCs w:val="0"/>
        </w:rPr>
        <w:t>, high load, VR</w:t>
      </w:r>
      <w:r>
        <w:rPr>
          <w:rFonts w:hint="eastAsia"/>
          <w:i w:val="0"/>
          <w:iCs w:val="0"/>
          <w:lang w:val="en-US" w:eastAsia="zh-CN"/>
        </w:rPr>
        <w:t>30</w:t>
      </w:r>
      <w:r>
        <w:rPr>
          <w:i w:val="0"/>
          <w:iCs w:val="0"/>
        </w:rPr>
        <w:t>,</w:t>
      </w:r>
      <w:r>
        <w:rPr>
          <w:rFonts w:hint="eastAsia"/>
          <w:i w:val="0"/>
          <w:iCs w:val="0"/>
          <w:lang w:val="en-US" w:eastAsia="zh-CN"/>
        </w:rPr>
        <w:t xml:space="preserve"> c</w:t>
      </w:r>
      <w:r>
        <w:rPr>
          <w:i w:val="0"/>
          <w:iCs w:val="0"/>
        </w:rPr>
        <w:t>omparing to the scheme(UE always on), following is observed:</w:t>
      </w:r>
      <w:bookmarkEnd w:id="41"/>
      <w:bookmarkEnd w:id="42"/>
      <w:bookmarkEnd w:id="43"/>
      <w:bookmarkEnd w:id="44"/>
      <w:bookmarkEnd w:id="45"/>
    </w:p>
    <w:p>
      <w:pPr>
        <w:pStyle w:val="38"/>
        <w:numPr>
          <w:ilvl w:val="255"/>
          <w:numId w:val="0"/>
        </w:numPr>
        <w:tabs>
          <w:tab w:val="clear" w:pos="0"/>
        </w:tabs>
        <w:spacing w:before="120" w:after="120" w:line="276" w:lineRule="auto"/>
        <w:jc w:val="both"/>
        <w:rPr>
          <w:i w:val="0"/>
          <w:iCs w:val="0"/>
        </w:rPr>
      </w:pPr>
      <w:bookmarkStart w:id="46" w:name="_Toc30051"/>
      <w:bookmarkStart w:id="47" w:name="_Toc12209"/>
      <w:bookmarkStart w:id="48" w:name="_Toc28443"/>
      <w:bookmarkStart w:id="49" w:name="_Toc87003975"/>
      <w:bookmarkStart w:id="50" w:name="_Toc17548"/>
      <w:r>
        <w:rPr>
          <w:rFonts w:hint="eastAsia"/>
          <w:i w:val="0"/>
          <w:iCs w:val="0"/>
          <w:lang w:val="en-US" w:eastAsia="zh-CN"/>
        </w:rPr>
        <w:t xml:space="preserve">- </w:t>
      </w:r>
      <w:r>
        <w:rPr>
          <w:rFonts w:hint="eastAsia"/>
          <w:i w:val="0"/>
          <w:iCs w:val="0"/>
        </w:rPr>
        <w:t>f</w:t>
      </w:r>
      <w:r>
        <w:rPr>
          <w:i w:val="0"/>
          <w:iCs w:val="0"/>
        </w:rPr>
        <w:t xml:space="preserve">or </w:t>
      </w:r>
      <w:r>
        <w:rPr>
          <w:rFonts w:hint="eastAsia"/>
          <w:i w:val="0"/>
          <w:iCs w:val="0"/>
          <w:lang w:val="en-US" w:eastAsia="zh-CN"/>
        </w:rPr>
        <w:t>R15 CDRX</w:t>
      </w:r>
      <w:r>
        <w:rPr>
          <w:i w:val="0"/>
          <w:iCs w:val="0"/>
        </w:rPr>
        <w:t xml:space="preserve"> power saving scheme, the</w:t>
      </w:r>
      <w:r>
        <w:rPr>
          <w:rFonts w:hint="eastAsia"/>
          <w:i w:val="0"/>
          <w:iCs w:val="0"/>
          <w:lang w:val="en-US" w:eastAsia="zh-CN"/>
        </w:rPr>
        <w:t xml:space="preserve"> </w:t>
      </w:r>
      <w:r>
        <w:rPr>
          <w:i w:val="0"/>
          <w:iCs w:val="0"/>
        </w:rPr>
        <w:t>power saving gain is in the range of {</w:t>
      </w:r>
      <w:r>
        <w:rPr>
          <w:rFonts w:hint="eastAsia"/>
          <w:i w:val="0"/>
          <w:iCs w:val="0"/>
          <w:lang w:val="en-US" w:eastAsia="zh-CN"/>
        </w:rPr>
        <w:t>6.2</w:t>
      </w:r>
      <w:r>
        <w:rPr>
          <w:i w:val="0"/>
          <w:iCs w:val="0"/>
        </w:rPr>
        <w:t>%</w:t>
      </w:r>
      <w:r>
        <w:rPr>
          <w:rFonts w:hint="eastAsia"/>
          <w:i w:val="0"/>
          <w:iCs w:val="0"/>
          <w:lang w:val="en-US" w:eastAsia="zh-CN"/>
        </w:rPr>
        <w:t>,7.1%</w:t>
      </w:r>
      <w:r>
        <w:rPr>
          <w:i w:val="0"/>
          <w:iCs w:val="0"/>
        </w:rPr>
        <w:t>} with</w:t>
      </w:r>
      <w:r>
        <w:rPr>
          <w:rFonts w:hint="eastAsia"/>
          <w:i w:val="0"/>
          <w:iCs w:val="0"/>
          <w:lang w:val="en-US" w:eastAsia="zh-CN"/>
        </w:rPr>
        <w:t xml:space="preserve"> 3.03%</w:t>
      </w:r>
      <w:r>
        <w:rPr>
          <w:i w:val="0"/>
          <w:iCs w:val="0"/>
        </w:rPr>
        <w:t xml:space="preserve"> of satisfied UE loss.</w:t>
      </w:r>
      <w:bookmarkEnd w:id="46"/>
      <w:bookmarkEnd w:id="47"/>
      <w:bookmarkEnd w:id="48"/>
      <w:bookmarkEnd w:id="49"/>
      <w:bookmarkEnd w:id="50"/>
    </w:p>
    <w:p>
      <w:pPr>
        <w:pStyle w:val="38"/>
        <w:numPr>
          <w:ilvl w:val="255"/>
          <w:numId w:val="0"/>
        </w:numPr>
        <w:tabs>
          <w:tab w:val="clear" w:pos="0"/>
        </w:tabs>
        <w:spacing w:before="120" w:after="120" w:line="276" w:lineRule="auto"/>
        <w:jc w:val="both"/>
        <w:rPr>
          <w:i w:val="0"/>
          <w:iCs w:val="0"/>
        </w:rPr>
      </w:pPr>
      <w:bookmarkStart w:id="51" w:name="_Toc17681"/>
      <w:bookmarkStart w:id="52" w:name="_Toc11293"/>
      <w:bookmarkStart w:id="53" w:name="_Toc8265"/>
      <w:bookmarkStart w:id="54" w:name="_Toc87003976"/>
      <w:bookmarkStart w:id="55" w:name="_Toc31002"/>
      <w:r>
        <w:rPr>
          <w:rFonts w:hint="eastAsia"/>
          <w:i w:val="0"/>
          <w:iCs w:val="0"/>
          <w:lang w:val="en-US" w:eastAsia="zh-CN"/>
        </w:rPr>
        <w:t xml:space="preserve">- </w:t>
      </w:r>
      <w:r>
        <w:rPr>
          <w:rFonts w:hint="eastAsia"/>
          <w:i w:val="0"/>
          <w:iCs w:val="0"/>
        </w:rPr>
        <w:t>f</w:t>
      </w:r>
      <w:r>
        <w:rPr>
          <w:i w:val="0"/>
          <w:iCs w:val="0"/>
        </w:rPr>
        <w:t>or CDRX alignment power saving scheme, the</w:t>
      </w:r>
      <w:r>
        <w:rPr>
          <w:rFonts w:hint="eastAsia"/>
          <w:i w:val="0"/>
          <w:iCs w:val="0"/>
          <w:lang w:val="en-US" w:eastAsia="zh-CN"/>
        </w:rPr>
        <w:t xml:space="preserve"> </w:t>
      </w:r>
      <w:r>
        <w:rPr>
          <w:i w:val="0"/>
          <w:iCs w:val="0"/>
        </w:rPr>
        <w:t>power saving gain is in the range of {</w:t>
      </w:r>
      <w:r>
        <w:rPr>
          <w:rFonts w:hint="eastAsia"/>
          <w:i w:val="0"/>
          <w:iCs w:val="0"/>
          <w:lang w:val="en-US" w:eastAsia="zh-CN"/>
        </w:rPr>
        <w:t>33.8%-35.4%</w:t>
      </w:r>
      <w:r>
        <w:rPr>
          <w:i w:val="0"/>
          <w:iCs w:val="0"/>
        </w:rPr>
        <w:t>} with</w:t>
      </w:r>
      <w:r>
        <w:rPr>
          <w:rFonts w:hint="eastAsia"/>
          <w:i w:val="0"/>
          <w:iCs w:val="0"/>
          <w:lang w:val="en-US" w:eastAsia="zh-CN"/>
        </w:rPr>
        <w:t xml:space="preserve"> 3.03%</w:t>
      </w:r>
      <w:r>
        <w:rPr>
          <w:i w:val="0"/>
          <w:iCs w:val="0"/>
        </w:rPr>
        <w:t xml:space="preserve"> of satisfied UE loss.</w:t>
      </w:r>
      <w:bookmarkEnd w:id="51"/>
      <w:bookmarkEnd w:id="52"/>
      <w:bookmarkEnd w:id="53"/>
      <w:bookmarkEnd w:id="54"/>
      <w:bookmarkEnd w:id="55"/>
    </w:p>
    <w:p>
      <w:pPr>
        <w:pStyle w:val="38"/>
        <w:numPr>
          <w:ilvl w:val="255"/>
          <w:numId w:val="0"/>
        </w:numPr>
        <w:tabs>
          <w:tab w:val="clear" w:pos="0"/>
        </w:tabs>
        <w:spacing w:before="120" w:after="120" w:line="276" w:lineRule="auto"/>
        <w:jc w:val="both"/>
        <w:rPr>
          <w:i w:val="0"/>
          <w:iCs w:val="0"/>
        </w:rPr>
      </w:pPr>
      <w:bookmarkStart w:id="56" w:name="_Toc32487"/>
      <w:bookmarkStart w:id="57" w:name="_Toc11798"/>
      <w:bookmarkStart w:id="58" w:name="_Toc87003977"/>
      <w:bookmarkStart w:id="59" w:name="_Toc3454"/>
      <w:bookmarkStart w:id="60" w:name="_Toc1043"/>
      <w:r>
        <w:rPr>
          <w:rFonts w:hint="eastAsia"/>
          <w:i w:val="0"/>
          <w:iCs w:val="0"/>
          <w:lang w:val="en-US" w:eastAsia="zh-CN"/>
        </w:rPr>
        <w:t xml:space="preserve">- </w:t>
      </w:r>
      <w:r>
        <w:rPr>
          <w:rFonts w:hint="eastAsia"/>
          <w:i w:val="0"/>
          <w:iCs w:val="0"/>
        </w:rPr>
        <w:t>f</w:t>
      </w:r>
      <w:r>
        <w:rPr>
          <w:i w:val="0"/>
          <w:iCs w:val="0"/>
        </w:rPr>
        <w:t>or eCDRX with flexible additional PDCCH monitoring, the power saving gain is in the range of {</w:t>
      </w:r>
      <w:r>
        <w:rPr>
          <w:rFonts w:hint="eastAsia"/>
          <w:i w:val="0"/>
          <w:iCs w:val="0"/>
          <w:lang w:val="en-US" w:eastAsia="zh-CN"/>
        </w:rPr>
        <w:t>29.8</w:t>
      </w:r>
      <w:r>
        <w:rPr>
          <w:i w:val="0"/>
          <w:iCs w:val="0"/>
        </w:rPr>
        <w:t>%</w:t>
      </w:r>
      <w:r>
        <w:rPr>
          <w:rFonts w:hint="eastAsia"/>
          <w:i w:val="0"/>
          <w:iCs w:val="0"/>
          <w:lang w:val="en-US" w:eastAsia="zh-CN"/>
        </w:rPr>
        <w:t>,31.78%</w:t>
      </w:r>
      <w:r>
        <w:rPr>
          <w:i w:val="0"/>
          <w:iCs w:val="0"/>
        </w:rPr>
        <w:t>} with</w:t>
      </w:r>
      <w:r>
        <w:rPr>
          <w:rFonts w:hint="eastAsia"/>
          <w:i w:val="0"/>
          <w:iCs w:val="0"/>
          <w:lang w:val="en-US" w:eastAsia="zh-CN"/>
        </w:rPr>
        <w:t xml:space="preserve"> 1.51%</w:t>
      </w:r>
      <w:r>
        <w:rPr>
          <w:i w:val="0"/>
          <w:iCs w:val="0"/>
        </w:rPr>
        <w:t xml:space="preserve"> of satisfied UE loss.</w:t>
      </w:r>
      <w:bookmarkEnd w:id="56"/>
      <w:bookmarkEnd w:id="57"/>
      <w:bookmarkEnd w:id="58"/>
      <w:bookmarkEnd w:id="59"/>
      <w:bookmarkEnd w:id="60"/>
    </w:p>
    <w:p>
      <w:pPr>
        <w:spacing w:before="120" w:after="120" w:line="256" w:lineRule="auto"/>
      </w:pPr>
    </w:p>
    <w:p>
      <w:pPr>
        <w:spacing w:before="120" w:after="120" w:line="256" w:lineRule="auto"/>
        <w:jc w:val="center"/>
      </w:pPr>
      <w:r>
        <w:rPr>
          <w:rFonts w:hint="eastAsia"/>
          <w:szCs w:val="22"/>
        </w:rPr>
        <w:t xml:space="preserve">Table 3 </w:t>
      </w:r>
      <w:r>
        <w:t>FR1 power consumption results in Indoor Hotspot scenario</w:t>
      </w:r>
      <w:r>
        <w:rPr>
          <w:rFonts w:hint="eastAsia"/>
        </w:rPr>
        <w:t xml:space="preserve"> for CG30M</w:t>
      </w:r>
    </w:p>
    <w:tbl>
      <w:tblPr>
        <w:tblStyle w:val="27"/>
        <w:tblW w:w="0" w:type="auto"/>
        <w:jc w:val="center"/>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7"/>
        <w:gridCol w:w="971"/>
        <w:gridCol w:w="718"/>
        <w:gridCol w:w="657"/>
        <w:gridCol w:w="660"/>
        <w:gridCol w:w="1146"/>
        <w:gridCol w:w="1402"/>
        <w:gridCol w:w="1108"/>
        <w:gridCol w:w="1327"/>
      </w:tblGrid>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Borders>
              <w:left w:val="single" w:color="auto" w:sz="4" w:space="0"/>
            </w:tcBorders>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DL satisfied UE</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0" w:type="auto"/>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Always On</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2</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96.53%</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b/>
                <w:sz w:val="18"/>
                <w:szCs w:val="18"/>
              </w:rPr>
            </w:pPr>
            <w:r>
              <w:rPr>
                <w:rFonts w:ascii="Times New Roman" w:hAnsi="Times New Roman" w:cs="Times New Roman"/>
                <w:sz w:val="18"/>
                <w:szCs w:val="18"/>
              </w:rPr>
              <w:t>R15 CDRX</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0</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2</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2</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88.8</w:t>
            </w:r>
            <w:r>
              <w:rPr>
                <w:rFonts w:hint="eastAsia" w:ascii="Times New Roman" w:hAnsi="Times New Roman" w:cs="Times New Roman"/>
                <w:sz w:val="18"/>
                <w:szCs w:val="18"/>
              </w:rPr>
              <w:t>9</w:t>
            </w:r>
            <w:r>
              <w:rPr>
                <w:rFonts w:ascii="Times New Roman" w:hAnsi="Times New Roman" w:cs="Times New Roman"/>
                <w:sz w:val="18"/>
                <w:szCs w:val="18"/>
              </w:rPr>
              <w:t>%</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b/>
                <w:sz w:val="18"/>
                <w:szCs w:val="18"/>
              </w:rPr>
            </w:pPr>
            <w:r>
              <w:rPr>
                <w:rFonts w:ascii="Times New Roman" w:hAnsi="Times New Roman" w:cs="Times New Roman"/>
                <w:sz w:val="18"/>
                <w:szCs w:val="18"/>
              </w:rPr>
              <w:t>4.2%</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b/>
                <w:sz w:val="18"/>
                <w:szCs w:val="18"/>
              </w:rPr>
            </w:pPr>
            <w:r>
              <w:rPr>
                <w:rFonts w:ascii="Times New Roman" w:hAnsi="Times New Roman" w:cs="Times New Roman"/>
                <w:sz w:val="18"/>
                <w:szCs w:val="18"/>
              </w:rPr>
              <w:t>6.1%</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restart"/>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CDRX alignment</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12</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12</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84%</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30.9%</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34%</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2</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2</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88.89%</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20.6%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23.1%</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eCDRX with flexible additional PDCCH monitoring</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12</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12</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88.19%</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32.4%</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34.5%</w:t>
            </w:r>
          </w:p>
        </w:tc>
      </w:tr>
    </w:tbl>
    <w:p>
      <w:pPr>
        <w:pStyle w:val="38"/>
        <w:numPr>
          <w:ilvl w:val="0"/>
          <w:numId w:val="0"/>
        </w:numPr>
        <w:spacing w:before="120" w:after="120" w:line="276" w:lineRule="auto"/>
        <w:jc w:val="both"/>
        <w:rPr>
          <w:i w:val="0"/>
          <w:iCs w:val="0"/>
        </w:rPr>
      </w:pPr>
      <w:bookmarkStart w:id="61" w:name="_Toc11432"/>
      <w:bookmarkStart w:id="62" w:name="_Toc14278"/>
      <w:bookmarkStart w:id="63" w:name="_Toc87003982"/>
      <w:bookmarkStart w:id="64" w:name="_Toc25692"/>
    </w:p>
    <w:p>
      <w:pPr>
        <w:pStyle w:val="38"/>
        <w:spacing w:before="120" w:after="120" w:line="276" w:lineRule="auto"/>
        <w:jc w:val="both"/>
        <w:rPr>
          <w:i w:val="0"/>
          <w:iCs w:val="0"/>
        </w:rPr>
      </w:pPr>
      <w:bookmarkStart w:id="65" w:name="_Toc31273"/>
      <w:r>
        <w:rPr>
          <w:i w:val="0"/>
          <w:iCs w:val="0"/>
        </w:rPr>
        <w:t xml:space="preserve">In FR1, DL only, </w:t>
      </w:r>
      <w:r>
        <w:rPr>
          <w:rFonts w:hint="eastAsia"/>
          <w:i w:val="0"/>
          <w:iCs w:val="0"/>
          <w:lang w:val="en-US" w:eastAsia="zh-CN"/>
        </w:rPr>
        <w:t>InH</w:t>
      </w:r>
      <w:r>
        <w:rPr>
          <w:i w:val="0"/>
          <w:iCs w:val="0"/>
        </w:rPr>
        <w:t xml:space="preserve">, high load, </w:t>
      </w:r>
      <w:r>
        <w:rPr>
          <w:rFonts w:hint="eastAsia"/>
          <w:i w:val="0"/>
          <w:iCs w:val="0"/>
          <w:lang w:val="en-US" w:eastAsia="zh-CN"/>
        </w:rPr>
        <w:t>CG30</w:t>
      </w:r>
      <w:r>
        <w:rPr>
          <w:i w:val="0"/>
          <w:iCs w:val="0"/>
        </w:rPr>
        <w:t>,</w:t>
      </w:r>
      <w:r>
        <w:rPr>
          <w:rFonts w:hint="eastAsia"/>
          <w:i w:val="0"/>
          <w:iCs w:val="0"/>
          <w:lang w:val="en-US" w:eastAsia="zh-CN"/>
        </w:rPr>
        <w:t xml:space="preserve"> c</w:t>
      </w:r>
      <w:r>
        <w:rPr>
          <w:i w:val="0"/>
          <w:iCs w:val="0"/>
        </w:rPr>
        <w:t>omparing to the scheme(UE always on), following is observed:</w:t>
      </w:r>
      <w:bookmarkEnd w:id="61"/>
      <w:bookmarkEnd w:id="62"/>
      <w:bookmarkEnd w:id="63"/>
      <w:bookmarkEnd w:id="64"/>
      <w:bookmarkEnd w:id="65"/>
    </w:p>
    <w:p>
      <w:pPr>
        <w:pStyle w:val="38"/>
        <w:numPr>
          <w:ilvl w:val="255"/>
          <w:numId w:val="0"/>
        </w:numPr>
        <w:tabs>
          <w:tab w:val="clear" w:pos="0"/>
        </w:tabs>
        <w:spacing w:before="120" w:after="120" w:line="276" w:lineRule="auto"/>
        <w:jc w:val="both"/>
        <w:rPr>
          <w:i w:val="0"/>
          <w:iCs w:val="0"/>
        </w:rPr>
      </w:pPr>
      <w:bookmarkStart w:id="66" w:name="_Toc87003983"/>
      <w:bookmarkStart w:id="67" w:name="_Toc2987"/>
      <w:bookmarkStart w:id="68" w:name="_Toc12753"/>
      <w:bookmarkStart w:id="69" w:name="_Toc14535"/>
      <w:bookmarkStart w:id="70" w:name="_Toc10574"/>
      <w:r>
        <w:rPr>
          <w:rFonts w:hint="eastAsia"/>
          <w:i w:val="0"/>
          <w:iCs w:val="0"/>
          <w:lang w:val="en-US" w:eastAsia="zh-CN"/>
        </w:rPr>
        <w:t xml:space="preserve">- </w:t>
      </w:r>
      <w:r>
        <w:rPr>
          <w:rFonts w:hint="eastAsia"/>
          <w:i w:val="0"/>
          <w:iCs w:val="0"/>
        </w:rPr>
        <w:t>f</w:t>
      </w:r>
      <w:r>
        <w:rPr>
          <w:i w:val="0"/>
          <w:iCs w:val="0"/>
        </w:rPr>
        <w:t xml:space="preserve">or </w:t>
      </w:r>
      <w:r>
        <w:rPr>
          <w:rFonts w:hint="eastAsia"/>
          <w:i w:val="0"/>
          <w:iCs w:val="0"/>
          <w:lang w:val="en-US" w:eastAsia="zh-CN"/>
        </w:rPr>
        <w:t xml:space="preserve">R15 CDRX </w:t>
      </w:r>
      <w:r>
        <w:rPr>
          <w:i w:val="0"/>
          <w:iCs w:val="0"/>
        </w:rPr>
        <w:t>power saving scheme, the power saving gain is in the range of {</w:t>
      </w:r>
      <w:r>
        <w:rPr>
          <w:rFonts w:hint="eastAsia"/>
          <w:i w:val="0"/>
          <w:iCs w:val="0"/>
          <w:lang w:val="en-US" w:eastAsia="zh-CN"/>
        </w:rPr>
        <w:t>4.2</w:t>
      </w:r>
      <w:r>
        <w:rPr>
          <w:i w:val="0"/>
          <w:iCs w:val="0"/>
        </w:rPr>
        <w:t>%</w:t>
      </w:r>
      <w:r>
        <w:rPr>
          <w:rFonts w:hint="eastAsia"/>
          <w:i w:val="0"/>
          <w:iCs w:val="0"/>
          <w:lang w:val="en-US" w:eastAsia="zh-CN"/>
        </w:rPr>
        <w:t>,6.1%</w:t>
      </w:r>
      <w:r>
        <w:rPr>
          <w:i w:val="0"/>
          <w:iCs w:val="0"/>
        </w:rPr>
        <w:t>} with</w:t>
      </w:r>
      <w:r>
        <w:rPr>
          <w:rFonts w:hint="eastAsia"/>
          <w:i w:val="0"/>
          <w:iCs w:val="0"/>
          <w:lang w:val="en-US" w:eastAsia="zh-CN"/>
        </w:rPr>
        <w:t xml:space="preserve"> 7.64% </w:t>
      </w:r>
      <w:r>
        <w:rPr>
          <w:i w:val="0"/>
          <w:iCs w:val="0"/>
        </w:rPr>
        <w:t>of satisfied UE loss.</w:t>
      </w:r>
      <w:bookmarkEnd w:id="66"/>
      <w:bookmarkEnd w:id="67"/>
      <w:bookmarkEnd w:id="68"/>
      <w:bookmarkEnd w:id="69"/>
      <w:bookmarkEnd w:id="70"/>
    </w:p>
    <w:p>
      <w:pPr>
        <w:pStyle w:val="38"/>
        <w:numPr>
          <w:ilvl w:val="255"/>
          <w:numId w:val="0"/>
        </w:numPr>
        <w:tabs>
          <w:tab w:val="clear" w:pos="0"/>
        </w:tabs>
        <w:spacing w:before="120" w:after="120" w:line="276" w:lineRule="auto"/>
        <w:jc w:val="both"/>
        <w:rPr>
          <w:i w:val="0"/>
          <w:iCs w:val="0"/>
        </w:rPr>
      </w:pPr>
      <w:bookmarkStart w:id="71" w:name="_Toc87003985"/>
      <w:bookmarkStart w:id="72" w:name="_Toc10393"/>
      <w:bookmarkStart w:id="73" w:name="_Toc4319"/>
      <w:bookmarkStart w:id="74" w:name="_Toc6799"/>
      <w:bookmarkStart w:id="75" w:name="_Toc31541"/>
      <w:r>
        <w:rPr>
          <w:rFonts w:hint="eastAsia"/>
          <w:i w:val="0"/>
          <w:iCs w:val="0"/>
          <w:lang w:val="en-US" w:eastAsia="zh-CN"/>
        </w:rPr>
        <w:t xml:space="preserve">- </w:t>
      </w:r>
      <w:r>
        <w:rPr>
          <w:rFonts w:hint="eastAsia"/>
          <w:i w:val="0"/>
          <w:iCs w:val="0"/>
        </w:rPr>
        <w:t>f</w:t>
      </w:r>
      <w:r>
        <w:rPr>
          <w:i w:val="0"/>
          <w:iCs w:val="0"/>
        </w:rPr>
        <w:t>or CDRX alignment power saving scheme, the power saving gain is in the range of {</w:t>
      </w:r>
      <w:r>
        <w:rPr>
          <w:rFonts w:hint="eastAsia"/>
          <w:i w:val="0"/>
          <w:iCs w:val="0"/>
          <w:lang w:val="en-US" w:eastAsia="zh-CN"/>
        </w:rPr>
        <w:t>20.6</w:t>
      </w:r>
      <w:r>
        <w:rPr>
          <w:i w:val="0"/>
          <w:iCs w:val="0"/>
        </w:rPr>
        <w:t>%</w:t>
      </w:r>
      <w:r>
        <w:rPr>
          <w:rFonts w:hint="eastAsia"/>
          <w:i w:val="0"/>
          <w:iCs w:val="0"/>
          <w:lang w:val="en-US" w:eastAsia="zh-CN"/>
        </w:rPr>
        <w:t>,34.5%</w:t>
      </w:r>
      <w:r>
        <w:rPr>
          <w:i w:val="0"/>
          <w:iCs w:val="0"/>
        </w:rPr>
        <w:t>} with</w:t>
      </w:r>
      <w:r>
        <w:rPr>
          <w:rFonts w:hint="eastAsia"/>
          <w:i w:val="0"/>
          <w:iCs w:val="0"/>
          <w:lang w:val="en-US" w:eastAsia="zh-CN"/>
        </w:rPr>
        <w:t xml:space="preserve"> {7.64%-12.56%} </w:t>
      </w:r>
      <w:r>
        <w:rPr>
          <w:i w:val="0"/>
          <w:iCs w:val="0"/>
        </w:rPr>
        <w:t>of satisfied UE loss.</w:t>
      </w:r>
      <w:bookmarkEnd w:id="71"/>
      <w:bookmarkEnd w:id="72"/>
      <w:bookmarkEnd w:id="73"/>
      <w:bookmarkEnd w:id="74"/>
      <w:bookmarkEnd w:id="75"/>
    </w:p>
    <w:p>
      <w:pPr>
        <w:pStyle w:val="38"/>
        <w:numPr>
          <w:ilvl w:val="255"/>
          <w:numId w:val="0"/>
        </w:numPr>
        <w:tabs>
          <w:tab w:val="clear" w:pos="0"/>
        </w:tabs>
        <w:spacing w:before="120" w:after="120" w:line="276" w:lineRule="auto"/>
        <w:jc w:val="both"/>
        <w:rPr>
          <w:i w:val="0"/>
          <w:iCs w:val="0"/>
          <w:lang w:val="en-US" w:eastAsia="zh-CN"/>
        </w:rPr>
      </w:pPr>
      <w:bookmarkStart w:id="76" w:name="_Toc22932"/>
      <w:bookmarkStart w:id="77" w:name="_Toc164"/>
      <w:bookmarkStart w:id="78" w:name="_Toc26210"/>
      <w:r>
        <w:rPr>
          <w:rFonts w:hint="eastAsia"/>
          <w:i w:val="0"/>
          <w:iCs w:val="0"/>
          <w:lang w:val="en-US" w:eastAsia="zh-CN"/>
        </w:rPr>
        <w:t xml:space="preserve">- for </w:t>
      </w:r>
      <w:r>
        <w:rPr>
          <w:i w:val="0"/>
          <w:iCs w:val="0"/>
        </w:rPr>
        <w:t>eCDRX with flexible additional PDCCH monitoring</w:t>
      </w:r>
      <w:r>
        <w:rPr>
          <w:rFonts w:hint="eastAsia"/>
          <w:i w:val="0"/>
          <w:iCs w:val="0"/>
          <w:lang w:val="en-US" w:eastAsia="zh-CN"/>
        </w:rPr>
        <w:t>, the power saving gain is in the range of {32.4%,34.5%} with 8.34% of satisfied UE loss.</w:t>
      </w:r>
      <w:bookmarkEnd w:id="76"/>
      <w:bookmarkEnd w:id="77"/>
      <w:bookmarkEnd w:id="78"/>
    </w:p>
    <w:p>
      <w:pPr>
        <w:spacing w:before="120" w:after="120" w:line="256" w:lineRule="auto"/>
      </w:pPr>
    </w:p>
    <w:p>
      <w:pPr>
        <w:spacing w:before="120" w:after="120" w:line="256" w:lineRule="auto"/>
        <w:jc w:val="center"/>
      </w:pPr>
      <w:r>
        <w:rPr>
          <w:rFonts w:hint="eastAsia"/>
          <w:szCs w:val="22"/>
        </w:rPr>
        <w:t xml:space="preserve">Table 4 </w:t>
      </w:r>
      <w:r>
        <w:t xml:space="preserve">FR1 power consumption results in Indoor Hotspot scenario </w:t>
      </w:r>
      <w:r>
        <w:rPr>
          <w:rFonts w:hint="eastAsia"/>
        </w:rPr>
        <w:t>for VR45M</w:t>
      </w:r>
    </w:p>
    <w:tbl>
      <w:tblPr>
        <w:tblStyle w:val="27"/>
        <w:tblW w:w="0" w:type="auto"/>
        <w:jc w:val="center"/>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9"/>
        <w:gridCol w:w="1043"/>
        <w:gridCol w:w="751"/>
        <w:gridCol w:w="688"/>
        <w:gridCol w:w="691"/>
        <w:gridCol w:w="1182"/>
        <w:gridCol w:w="1504"/>
        <w:gridCol w:w="1265"/>
        <w:gridCol w:w="1473"/>
      </w:tblGrid>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Borders>
              <w:left w:val="single" w:color="auto" w:sz="4" w:space="0"/>
            </w:tcBorders>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DL satisfied UE</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0" w:type="auto"/>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Always On</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91%</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b/>
                <w:sz w:val="18"/>
                <w:szCs w:val="18"/>
              </w:rPr>
            </w:pPr>
            <w:r>
              <w:rPr>
                <w:rFonts w:ascii="Times New Roman" w:hAnsi="Times New Roman" w:cs="Times New Roman"/>
                <w:sz w:val="18"/>
                <w:szCs w:val="18"/>
              </w:rPr>
              <w:t>R15 CDRX</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0</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87%</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b/>
                <w:sz w:val="18"/>
                <w:szCs w:val="18"/>
              </w:rPr>
            </w:pPr>
            <w:r>
              <w:rPr>
                <w:rFonts w:ascii="Times New Roman" w:hAnsi="Times New Roman" w:cs="Times New Roman"/>
                <w:sz w:val="18"/>
                <w:szCs w:val="18"/>
              </w:rPr>
              <w:t>7.4%</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b/>
                <w:sz w:val="18"/>
                <w:szCs w:val="18"/>
              </w:rPr>
            </w:pPr>
            <w:r>
              <w:rPr>
                <w:rFonts w:ascii="Times New Roman" w:hAnsi="Times New Roman" w:cs="Times New Roman"/>
                <w:sz w:val="18"/>
                <w:szCs w:val="18"/>
              </w:rPr>
              <w:t>8.1%</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CDRX alignment</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89</w:t>
            </w:r>
            <w:r>
              <w:rPr>
                <w:rFonts w:ascii="Times New Roman" w:hAnsi="Times New Roman" w:cs="Times New Roman"/>
                <w:sz w:val="18"/>
                <w:szCs w:val="18"/>
              </w:rPr>
              <w:t>%</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22..4%</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23.5%</w:t>
            </w:r>
          </w:p>
        </w:tc>
      </w:tr>
    </w:tbl>
    <w:p>
      <w:pPr>
        <w:pStyle w:val="38"/>
        <w:numPr>
          <w:ilvl w:val="0"/>
          <w:numId w:val="0"/>
        </w:numPr>
        <w:spacing w:before="120" w:after="120" w:line="276" w:lineRule="auto"/>
        <w:jc w:val="both"/>
        <w:rPr>
          <w:i w:val="0"/>
          <w:iCs w:val="0"/>
        </w:rPr>
      </w:pPr>
      <w:bookmarkStart w:id="79" w:name="_Toc25125"/>
      <w:bookmarkStart w:id="80" w:name="_Toc87003978"/>
      <w:bookmarkStart w:id="81" w:name="_Toc25753"/>
      <w:bookmarkStart w:id="82" w:name="_Toc9952"/>
    </w:p>
    <w:p>
      <w:pPr>
        <w:pStyle w:val="38"/>
        <w:spacing w:before="120" w:after="120" w:line="276" w:lineRule="auto"/>
        <w:jc w:val="both"/>
        <w:rPr>
          <w:i w:val="0"/>
          <w:iCs w:val="0"/>
        </w:rPr>
      </w:pPr>
      <w:bookmarkStart w:id="83" w:name="_Toc31486"/>
      <w:r>
        <w:rPr>
          <w:i w:val="0"/>
          <w:iCs w:val="0"/>
        </w:rPr>
        <w:t xml:space="preserve">In FR1, DL only, </w:t>
      </w:r>
      <w:r>
        <w:rPr>
          <w:rFonts w:hint="eastAsia"/>
          <w:i w:val="0"/>
          <w:iCs w:val="0"/>
          <w:lang w:val="en-US" w:eastAsia="zh-CN"/>
        </w:rPr>
        <w:t>InH</w:t>
      </w:r>
      <w:r>
        <w:rPr>
          <w:i w:val="0"/>
          <w:iCs w:val="0"/>
        </w:rPr>
        <w:t>, high load, VR</w:t>
      </w:r>
      <w:r>
        <w:rPr>
          <w:rFonts w:hint="eastAsia"/>
          <w:i w:val="0"/>
          <w:iCs w:val="0"/>
          <w:lang w:val="en-US" w:eastAsia="zh-CN"/>
        </w:rPr>
        <w:t>45</w:t>
      </w:r>
      <w:r>
        <w:rPr>
          <w:i w:val="0"/>
          <w:iCs w:val="0"/>
        </w:rPr>
        <w:t>,</w:t>
      </w:r>
      <w:r>
        <w:rPr>
          <w:rFonts w:hint="eastAsia"/>
          <w:i w:val="0"/>
          <w:iCs w:val="0"/>
          <w:lang w:val="en-US" w:eastAsia="zh-CN"/>
        </w:rPr>
        <w:t xml:space="preserve"> c</w:t>
      </w:r>
      <w:r>
        <w:rPr>
          <w:i w:val="0"/>
          <w:iCs w:val="0"/>
        </w:rPr>
        <w:t>omparing to the scheme(UE always on), following is observed:</w:t>
      </w:r>
      <w:bookmarkEnd w:id="79"/>
      <w:bookmarkEnd w:id="80"/>
      <w:bookmarkEnd w:id="81"/>
      <w:bookmarkEnd w:id="82"/>
      <w:bookmarkEnd w:id="83"/>
    </w:p>
    <w:p>
      <w:pPr>
        <w:pStyle w:val="38"/>
        <w:numPr>
          <w:ilvl w:val="255"/>
          <w:numId w:val="0"/>
        </w:numPr>
        <w:tabs>
          <w:tab w:val="clear" w:pos="0"/>
        </w:tabs>
        <w:spacing w:before="120" w:after="120" w:line="276" w:lineRule="auto"/>
        <w:jc w:val="both"/>
        <w:rPr>
          <w:i w:val="0"/>
          <w:iCs w:val="0"/>
        </w:rPr>
      </w:pPr>
      <w:bookmarkStart w:id="84" w:name="_Toc87003979"/>
      <w:bookmarkStart w:id="85" w:name="_Toc17300"/>
      <w:bookmarkStart w:id="86" w:name="_Toc7502"/>
      <w:bookmarkStart w:id="87" w:name="_Toc14465"/>
      <w:bookmarkStart w:id="88" w:name="_Toc6303"/>
      <w:r>
        <w:rPr>
          <w:rFonts w:hint="eastAsia"/>
          <w:i w:val="0"/>
          <w:iCs w:val="0"/>
          <w:lang w:val="en-US" w:eastAsia="zh-CN"/>
        </w:rPr>
        <w:t xml:space="preserve">- </w:t>
      </w:r>
      <w:r>
        <w:rPr>
          <w:rFonts w:hint="eastAsia"/>
          <w:i w:val="0"/>
          <w:iCs w:val="0"/>
        </w:rPr>
        <w:t>f</w:t>
      </w:r>
      <w:r>
        <w:rPr>
          <w:i w:val="0"/>
          <w:iCs w:val="0"/>
        </w:rPr>
        <w:t xml:space="preserve">or </w:t>
      </w:r>
      <w:r>
        <w:rPr>
          <w:rFonts w:hint="eastAsia"/>
          <w:i w:val="0"/>
          <w:iCs w:val="0"/>
          <w:lang w:val="en-US" w:eastAsia="zh-CN"/>
        </w:rPr>
        <w:t xml:space="preserve">R15 CDRX </w:t>
      </w:r>
      <w:r>
        <w:rPr>
          <w:i w:val="0"/>
          <w:iCs w:val="0"/>
        </w:rPr>
        <w:t>power saving scheme, the</w:t>
      </w:r>
      <w:r>
        <w:rPr>
          <w:rFonts w:hint="eastAsia"/>
          <w:i w:val="0"/>
          <w:iCs w:val="0"/>
          <w:lang w:val="en-US" w:eastAsia="zh-CN"/>
        </w:rPr>
        <w:t xml:space="preserve"> </w:t>
      </w:r>
      <w:r>
        <w:rPr>
          <w:i w:val="0"/>
          <w:iCs w:val="0"/>
        </w:rPr>
        <w:t>power saving gain is in the range of {</w:t>
      </w:r>
      <w:r>
        <w:rPr>
          <w:rFonts w:hint="eastAsia"/>
          <w:i w:val="0"/>
          <w:iCs w:val="0"/>
          <w:lang w:val="en-US" w:eastAsia="zh-CN"/>
        </w:rPr>
        <w:t>7.4</w:t>
      </w:r>
      <w:r>
        <w:rPr>
          <w:i w:val="0"/>
          <w:iCs w:val="0"/>
        </w:rPr>
        <w:t>%</w:t>
      </w:r>
      <w:r>
        <w:rPr>
          <w:rFonts w:hint="eastAsia"/>
          <w:i w:val="0"/>
          <w:iCs w:val="0"/>
          <w:lang w:val="en-US" w:eastAsia="zh-CN"/>
        </w:rPr>
        <w:t>,8.1%</w:t>
      </w:r>
      <w:r>
        <w:rPr>
          <w:i w:val="0"/>
          <w:iCs w:val="0"/>
        </w:rPr>
        <w:t>} with</w:t>
      </w:r>
      <w:r>
        <w:rPr>
          <w:rFonts w:hint="eastAsia"/>
          <w:i w:val="0"/>
          <w:iCs w:val="0"/>
          <w:lang w:val="en-US" w:eastAsia="zh-CN"/>
        </w:rPr>
        <w:t xml:space="preserve"> 4% </w:t>
      </w:r>
      <w:r>
        <w:rPr>
          <w:i w:val="0"/>
          <w:iCs w:val="0"/>
        </w:rPr>
        <w:t>of satisfied UE loss.</w:t>
      </w:r>
      <w:bookmarkEnd w:id="84"/>
      <w:bookmarkEnd w:id="85"/>
      <w:bookmarkEnd w:id="86"/>
      <w:bookmarkEnd w:id="87"/>
      <w:bookmarkEnd w:id="88"/>
    </w:p>
    <w:p>
      <w:pPr>
        <w:pStyle w:val="38"/>
        <w:numPr>
          <w:ilvl w:val="255"/>
          <w:numId w:val="0"/>
        </w:numPr>
        <w:tabs>
          <w:tab w:val="clear" w:pos="0"/>
        </w:tabs>
        <w:spacing w:before="120" w:after="120" w:line="276" w:lineRule="auto"/>
        <w:jc w:val="both"/>
        <w:rPr>
          <w:i w:val="0"/>
          <w:iCs w:val="0"/>
        </w:rPr>
      </w:pPr>
      <w:bookmarkStart w:id="89" w:name="_Toc16080"/>
      <w:bookmarkStart w:id="90" w:name="_Toc22183"/>
      <w:bookmarkStart w:id="91" w:name="_Toc3320"/>
      <w:bookmarkStart w:id="92" w:name="_Toc23986"/>
      <w:bookmarkStart w:id="93" w:name="_Toc87003980"/>
      <w:r>
        <w:rPr>
          <w:rFonts w:hint="eastAsia"/>
          <w:i w:val="0"/>
          <w:iCs w:val="0"/>
          <w:lang w:val="en-US" w:eastAsia="zh-CN"/>
        </w:rPr>
        <w:t xml:space="preserve">- </w:t>
      </w:r>
      <w:r>
        <w:rPr>
          <w:rFonts w:hint="eastAsia"/>
          <w:i w:val="0"/>
          <w:iCs w:val="0"/>
        </w:rPr>
        <w:t>f</w:t>
      </w:r>
      <w:r>
        <w:rPr>
          <w:i w:val="0"/>
          <w:iCs w:val="0"/>
        </w:rPr>
        <w:t>or CDRX alignment power saving scheme, the</w:t>
      </w:r>
      <w:r>
        <w:rPr>
          <w:rFonts w:hint="eastAsia"/>
          <w:i w:val="0"/>
          <w:iCs w:val="0"/>
          <w:lang w:val="en-US" w:eastAsia="zh-CN"/>
        </w:rPr>
        <w:t xml:space="preserve"> </w:t>
      </w:r>
      <w:r>
        <w:rPr>
          <w:i w:val="0"/>
          <w:iCs w:val="0"/>
        </w:rPr>
        <w:t>power saving gain is in the range of {</w:t>
      </w:r>
      <w:r>
        <w:rPr>
          <w:rFonts w:hint="eastAsia"/>
          <w:i w:val="0"/>
          <w:iCs w:val="0"/>
          <w:lang w:val="en-US" w:eastAsia="zh-CN"/>
        </w:rPr>
        <w:t>22.4%-23.5%</w:t>
      </w:r>
      <w:r>
        <w:rPr>
          <w:i w:val="0"/>
          <w:iCs w:val="0"/>
        </w:rPr>
        <w:t>} with</w:t>
      </w:r>
      <w:r>
        <w:rPr>
          <w:rFonts w:hint="eastAsia"/>
          <w:i w:val="0"/>
          <w:iCs w:val="0"/>
          <w:lang w:val="en-US" w:eastAsia="zh-CN"/>
        </w:rPr>
        <w:t xml:space="preserve"> 2% </w:t>
      </w:r>
      <w:r>
        <w:rPr>
          <w:i w:val="0"/>
          <w:iCs w:val="0"/>
        </w:rPr>
        <w:t>of satisfied UE loss.</w:t>
      </w:r>
      <w:bookmarkEnd w:id="89"/>
      <w:bookmarkEnd w:id="90"/>
      <w:bookmarkEnd w:id="91"/>
      <w:bookmarkEnd w:id="92"/>
      <w:bookmarkEnd w:id="93"/>
    </w:p>
    <w:p>
      <w:pPr>
        <w:pStyle w:val="38"/>
        <w:spacing w:before="120" w:after="120"/>
        <w:rPr>
          <w:i w:val="0"/>
          <w:iCs w:val="0"/>
          <w:lang w:val="en-US" w:eastAsia="zh-CN"/>
        </w:rPr>
      </w:pPr>
      <w:bookmarkStart w:id="94" w:name="_Toc16773"/>
      <w:bookmarkStart w:id="95" w:name="_Toc25020"/>
      <w:bookmarkStart w:id="96" w:name="_Toc24153"/>
      <w:r>
        <w:rPr>
          <w:rFonts w:hint="eastAsia"/>
          <w:i w:val="0"/>
          <w:iCs w:val="0"/>
          <w:lang w:val="en-US" w:eastAsia="zh-CN"/>
        </w:rPr>
        <w:t xml:space="preserve">For </w:t>
      </w:r>
      <w:r>
        <w:rPr>
          <w:i w:val="0"/>
          <w:iCs w:val="0"/>
        </w:rPr>
        <w:t xml:space="preserve">CDRX alignment power saving scheme, </w:t>
      </w:r>
      <w:r>
        <w:rPr>
          <w:rFonts w:hint="eastAsia"/>
          <w:i w:val="0"/>
          <w:iCs w:val="0"/>
          <w:lang w:val="en-US" w:eastAsia="zh-CN"/>
        </w:rPr>
        <w:t>a larger drx-onDurationTimer value will lead to a larger capacity, while the power saving gain will be decreased.</w:t>
      </w:r>
      <w:bookmarkEnd w:id="94"/>
      <w:bookmarkEnd w:id="95"/>
      <w:bookmarkEnd w:id="96"/>
    </w:p>
    <w:p>
      <w:pPr>
        <w:pStyle w:val="38"/>
        <w:spacing w:before="120" w:after="120"/>
        <w:rPr>
          <w:i w:val="0"/>
          <w:iCs w:val="0"/>
          <w:lang w:val="en-US" w:eastAsia="zh-CN"/>
        </w:rPr>
      </w:pPr>
      <w:bookmarkStart w:id="97" w:name="_Toc25392"/>
      <w:bookmarkStart w:id="98" w:name="_Toc21197"/>
      <w:bookmarkStart w:id="99" w:name="_Toc24868"/>
      <w:r>
        <w:rPr>
          <w:rFonts w:hint="eastAsia"/>
          <w:i w:val="0"/>
          <w:iCs w:val="0"/>
          <w:lang w:val="en-US" w:eastAsia="zh-CN"/>
        </w:rPr>
        <w:t xml:space="preserve">Compared with </w:t>
      </w:r>
      <w:r>
        <w:rPr>
          <w:i w:val="0"/>
          <w:iCs w:val="0"/>
        </w:rPr>
        <w:t xml:space="preserve">CDRX alignment power saving scheme, eCDRX with flexible additional PDCCH monitoring </w:t>
      </w:r>
      <w:r>
        <w:rPr>
          <w:rFonts w:hint="eastAsia"/>
          <w:i w:val="0"/>
          <w:iCs w:val="0"/>
          <w:lang w:val="en-US" w:eastAsia="zh-CN"/>
        </w:rPr>
        <w:t>power saving scheme can provide larger capacity under similar power saving gain.</w:t>
      </w:r>
      <w:bookmarkEnd w:id="97"/>
      <w:bookmarkEnd w:id="98"/>
      <w:bookmarkEnd w:id="99"/>
    </w:p>
    <w:p>
      <w:pPr>
        <w:spacing w:before="120" w:after="120" w:line="256" w:lineRule="auto"/>
      </w:pPr>
    </w:p>
    <w:p>
      <w:pPr>
        <w:pStyle w:val="3"/>
        <w:spacing w:before="120" w:after="120" w:line="260" w:lineRule="auto"/>
        <w:ind w:left="0" w:right="210"/>
        <w:rPr>
          <w:rFonts w:ascii="Times New Roman" w:hAnsi="Times New Roman"/>
          <w:sz w:val="24"/>
          <w:szCs w:val="24"/>
        </w:rPr>
      </w:pPr>
      <w:r>
        <w:rPr>
          <w:rFonts w:ascii="Times New Roman" w:hAnsi="Times New Roman"/>
          <w:sz w:val="24"/>
          <w:szCs w:val="24"/>
        </w:rPr>
        <w:t>FR1 InH DL + UL</w:t>
      </w:r>
    </w:p>
    <w:p>
      <w:pPr>
        <w:spacing w:before="120" w:after="120"/>
      </w:pPr>
      <w:r>
        <w:rPr>
          <w:rFonts w:hint="eastAsia"/>
        </w:rPr>
        <w:t xml:space="preserve">In this section, </w:t>
      </w:r>
      <w:r>
        <w:t xml:space="preserve">simulation results of </w:t>
      </w:r>
      <w:r>
        <w:rPr>
          <w:rFonts w:hint="eastAsia"/>
        </w:rPr>
        <w:t>joint power consumption by independently evaluat</w:t>
      </w:r>
      <w:r>
        <w:t>ing</w:t>
      </w:r>
      <w:r>
        <w:rPr>
          <w:rFonts w:hint="eastAsia"/>
        </w:rPr>
        <w:t xml:space="preserve"> DL and UL power consumption </w:t>
      </w:r>
      <w:r>
        <w:t>are provided</w:t>
      </w:r>
      <w:r>
        <w:rPr>
          <w:rFonts w:hint="eastAsia"/>
        </w:rPr>
        <w:t>. The joint power consumption</w:t>
      </w:r>
      <w:r>
        <w:t xml:space="preserve"> results are evaluated by</w:t>
      </w:r>
      <w:r>
        <w:rPr>
          <w:rFonts w:hint="eastAsia"/>
        </w:rPr>
        <w:t>:</w:t>
      </w:r>
    </w:p>
    <w:p>
      <w:pPr>
        <w:numPr>
          <w:ilvl w:val="0"/>
          <w:numId w:val="16"/>
        </w:numPr>
        <w:spacing w:before="120" w:after="120" w:line="256" w:lineRule="auto"/>
      </w:pPr>
      <w:r>
        <w:rPr>
          <w:rFonts w:hint="eastAsia"/>
        </w:rPr>
        <w:t>Evaluating DL and UL power consumption independently;</w:t>
      </w:r>
    </w:p>
    <w:p>
      <w:pPr>
        <w:numPr>
          <w:ilvl w:val="0"/>
          <w:numId w:val="16"/>
        </w:numPr>
        <w:spacing w:before="120" w:after="120" w:line="256" w:lineRule="auto"/>
      </w:pPr>
      <w:r>
        <w:rPr>
          <w:rFonts w:hint="eastAsia"/>
        </w:rPr>
        <w:t>Collecting DL and UL slot states respectively;</w:t>
      </w:r>
    </w:p>
    <w:p>
      <w:pPr>
        <w:numPr>
          <w:ilvl w:val="0"/>
          <w:numId w:val="16"/>
        </w:numPr>
        <w:spacing w:before="120" w:after="120" w:line="256" w:lineRule="auto"/>
      </w:pPr>
      <w:r>
        <w:rPr>
          <w:rFonts w:hint="eastAsia"/>
        </w:rPr>
        <w:t>Recombining these slot states in a single timeline;</w:t>
      </w:r>
    </w:p>
    <w:p>
      <w:pPr>
        <w:numPr>
          <w:ilvl w:val="0"/>
          <w:numId w:val="16"/>
        </w:numPr>
        <w:spacing w:before="120" w:after="120" w:line="256" w:lineRule="auto"/>
      </w:pPr>
      <w:r>
        <w:rPr>
          <w:rFonts w:hint="eastAsia"/>
        </w:rPr>
        <w:t>Calculating overall power consumption according to the recombined timeline.</w:t>
      </w:r>
    </w:p>
    <w:p>
      <w:pPr>
        <w:spacing w:before="120" w:after="120"/>
      </w:pPr>
      <w:r>
        <w:rPr>
          <w:rFonts w:hint="eastAsia"/>
        </w:rPr>
        <w:t xml:space="preserve">Single stream of video with jitter is used in DL and pose/control traffic model is used for UL evaluation. UE can transmit UL data in UL slots even if UE is in </w:t>
      </w:r>
      <w:r>
        <w:t>“</w:t>
      </w:r>
      <w:r>
        <w:rPr>
          <w:rFonts w:hint="eastAsia"/>
        </w:rPr>
        <w:t>DRX off</w:t>
      </w:r>
      <w:r>
        <w:t>”</w:t>
      </w:r>
      <w:r>
        <w:rPr>
          <w:rFonts w:hint="eastAsia"/>
        </w:rPr>
        <w:t xml:space="preserve"> state.</w:t>
      </w:r>
      <w:r>
        <w:t xml:space="preserve"> </w:t>
      </w:r>
      <w:r>
        <w:rPr>
          <w:rFonts w:hint="eastAsia"/>
        </w:rPr>
        <w:t xml:space="preserve">The power </w:t>
      </w:r>
      <w:r>
        <w:t xml:space="preserve">consumption </w:t>
      </w:r>
      <w:r>
        <w:rPr>
          <w:rFonts w:hint="eastAsia"/>
        </w:rPr>
        <w:t xml:space="preserve">results are shown in </w:t>
      </w:r>
      <w:r>
        <w:rPr>
          <w:rFonts w:hint="eastAsia"/>
          <w:bCs/>
        </w:rPr>
        <w:t xml:space="preserve">Table 5 </w:t>
      </w:r>
      <w:r>
        <w:rPr>
          <w:bCs/>
        </w:rPr>
        <w:t>~</w:t>
      </w:r>
      <w:r>
        <w:rPr>
          <w:rFonts w:hint="eastAsia"/>
          <w:bCs/>
        </w:rPr>
        <w:t xml:space="preserve"> </w:t>
      </w:r>
      <w:r>
        <w:rPr>
          <w:bCs/>
        </w:rPr>
        <w:t xml:space="preserve">Table </w:t>
      </w:r>
      <w:r>
        <w:rPr>
          <w:rFonts w:hint="eastAsia"/>
          <w:bCs/>
        </w:rPr>
        <w:t>7</w:t>
      </w:r>
      <w:r>
        <w:rPr>
          <w:rFonts w:hint="eastAsia"/>
        </w:rPr>
        <w:t>.</w:t>
      </w:r>
    </w:p>
    <w:p>
      <w:pPr>
        <w:spacing w:before="120" w:after="120" w:line="256" w:lineRule="auto"/>
        <w:jc w:val="center"/>
      </w:pPr>
      <w:r>
        <w:rPr>
          <w:rFonts w:hint="eastAsia"/>
          <w:szCs w:val="22"/>
        </w:rPr>
        <w:t xml:space="preserve">Table 5 </w:t>
      </w:r>
      <w:r>
        <w:t xml:space="preserve">FR1 power consumption results in Indoor Hotspot scenario </w:t>
      </w:r>
      <w:r>
        <w:rPr>
          <w:rFonts w:hint="eastAsia"/>
        </w:rPr>
        <w:t>(VR30M + pose/control)</w:t>
      </w:r>
    </w:p>
    <w:tbl>
      <w:tblPr>
        <w:tblStyle w:val="27"/>
        <w:tblW w:w="0" w:type="auto"/>
        <w:jc w:val="center"/>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3"/>
        <w:gridCol w:w="979"/>
        <w:gridCol w:w="721"/>
        <w:gridCol w:w="661"/>
        <w:gridCol w:w="663"/>
        <w:gridCol w:w="1149"/>
        <w:gridCol w:w="1412"/>
        <w:gridCol w:w="1121"/>
        <w:gridCol w:w="1257"/>
      </w:tblGrid>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Borders>
              <w:left w:val="single" w:color="auto" w:sz="4" w:space="0"/>
            </w:tcBorders>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satisfied UE</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0" w:type="auto"/>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Always On</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93.18%</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b/>
                <w:sz w:val="18"/>
                <w:szCs w:val="18"/>
              </w:rPr>
            </w:pPr>
            <w:r>
              <w:rPr>
                <w:rFonts w:ascii="Times New Roman" w:hAnsi="Times New Roman" w:cs="Times New Roman"/>
                <w:sz w:val="18"/>
                <w:szCs w:val="18"/>
              </w:rPr>
              <w:t>R15 CDRX</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0</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90.15%</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bCs/>
                <w:sz w:val="18"/>
                <w:szCs w:val="18"/>
              </w:rPr>
            </w:pPr>
            <w:r>
              <w:rPr>
                <w:rFonts w:hint="eastAsia" w:ascii="Times New Roman" w:hAnsi="Times New Roman" w:cs="Times New Roman"/>
                <w:bCs/>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bCs/>
                <w:sz w:val="18"/>
                <w:szCs w:val="18"/>
              </w:rPr>
            </w:pPr>
            <w:r>
              <w:rPr>
                <w:rFonts w:hint="eastAsia" w:ascii="Times New Roman" w:hAnsi="Times New Roman" w:cs="Times New Roman"/>
                <w:bCs/>
                <w:sz w:val="18"/>
                <w:szCs w:val="18"/>
              </w:rPr>
              <w:t>6.65%</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CDRX alignment</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90.15%</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23.2%</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24.6%</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eCDRX with flexible additional PDCCH monitoring</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91.67%</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20.5%</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21.6%</w:t>
            </w:r>
          </w:p>
        </w:tc>
      </w:tr>
    </w:tbl>
    <w:p>
      <w:pPr>
        <w:pStyle w:val="38"/>
        <w:numPr>
          <w:ilvl w:val="0"/>
          <w:numId w:val="0"/>
        </w:numPr>
        <w:spacing w:before="120" w:after="120" w:line="276" w:lineRule="auto"/>
        <w:jc w:val="both"/>
        <w:rPr>
          <w:i w:val="0"/>
          <w:iCs w:val="0"/>
        </w:rPr>
      </w:pPr>
      <w:bookmarkStart w:id="100" w:name="_Toc10213"/>
      <w:bookmarkStart w:id="101" w:name="_Toc8086"/>
      <w:bookmarkStart w:id="102" w:name="_Toc19798"/>
      <w:bookmarkStart w:id="103" w:name="_Toc87003961"/>
    </w:p>
    <w:p>
      <w:pPr>
        <w:pStyle w:val="38"/>
        <w:spacing w:before="120" w:after="120" w:line="276" w:lineRule="auto"/>
        <w:jc w:val="both"/>
        <w:rPr>
          <w:i w:val="0"/>
          <w:iCs w:val="0"/>
        </w:rPr>
      </w:pPr>
      <w:bookmarkStart w:id="104" w:name="_Toc8807"/>
      <w:r>
        <w:rPr>
          <w:i w:val="0"/>
          <w:iCs w:val="0"/>
        </w:rPr>
        <w:t xml:space="preserve">In FR1, DL+UL, </w:t>
      </w:r>
      <w:r>
        <w:rPr>
          <w:rFonts w:hint="eastAsia"/>
          <w:i w:val="0"/>
          <w:iCs w:val="0"/>
          <w:lang w:val="en-US" w:eastAsia="zh-CN"/>
        </w:rPr>
        <w:t>InH</w:t>
      </w:r>
      <w:r>
        <w:rPr>
          <w:i w:val="0"/>
          <w:iCs w:val="0"/>
        </w:rPr>
        <w:t>, high load, VR30,</w:t>
      </w:r>
      <w:r>
        <w:rPr>
          <w:rFonts w:hint="eastAsia"/>
          <w:i w:val="0"/>
          <w:iCs w:val="0"/>
          <w:lang w:val="en-US" w:eastAsia="zh-CN"/>
        </w:rPr>
        <w:t xml:space="preserve"> c</w:t>
      </w:r>
      <w:r>
        <w:rPr>
          <w:i w:val="0"/>
          <w:iCs w:val="0"/>
        </w:rPr>
        <w:t>comparing to the scheme(UE always on), following is observed:</w:t>
      </w:r>
      <w:bookmarkEnd w:id="100"/>
      <w:bookmarkEnd w:id="101"/>
      <w:bookmarkEnd w:id="102"/>
      <w:bookmarkEnd w:id="103"/>
      <w:bookmarkEnd w:id="104"/>
    </w:p>
    <w:p>
      <w:pPr>
        <w:pStyle w:val="38"/>
        <w:numPr>
          <w:ilvl w:val="255"/>
          <w:numId w:val="0"/>
        </w:numPr>
        <w:tabs>
          <w:tab w:val="clear" w:pos="0"/>
        </w:tabs>
        <w:spacing w:before="120" w:after="120" w:line="276" w:lineRule="auto"/>
        <w:jc w:val="both"/>
        <w:rPr>
          <w:i w:val="0"/>
          <w:iCs w:val="0"/>
        </w:rPr>
      </w:pPr>
      <w:bookmarkStart w:id="105" w:name="_Toc3380"/>
      <w:bookmarkStart w:id="106" w:name="_Toc8364"/>
      <w:bookmarkStart w:id="107" w:name="_Toc87003962"/>
      <w:bookmarkStart w:id="108" w:name="_Toc4493"/>
      <w:bookmarkStart w:id="109" w:name="_Toc4148"/>
      <w:r>
        <w:rPr>
          <w:rFonts w:hint="eastAsia"/>
          <w:i w:val="0"/>
          <w:iCs w:val="0"/>
          <w:lang w:val="en-US" w:eastAsia="zh-CN"/>
        </w:rPr>
        <w:t xml:space="preserve">- </w:t>
      </w:r>
      <w:r>
        <w:rPr>
          <w:rFonts w:hint="eastAsia"/>
          <w:i w:val="0"/>
          <w:iCs w:val="0"/>
        </w:rPr>
        <w:t>f</w:t>
      </w:r>
      <w:r>
        <w:rPr>
          <w:i w:val="0"/>
          <w:iCs w:val="0"/>
        </w:rPr>
        <w:t xml:space="preserve">or </w:t>
      </w:r>
      <w:r>
        <w:rPr>
          <w:rFonts w:hint="eastAsia"/>
          <w:i w:val="0"/>
          <w:iCs w:val="0"/>
          <w:lang w:val="en-US" w:eastAsia="zh-CN"/>
        </w:rPr>
        <w:t>R15 CDRX</w:t>
      </w:r>
      <w:r>
        <w:rPr>
          <w:i w:val="0"/>
          <w:iCs w:val="0"/>
        </w:rPr>
        <w:t xml:space="preserve"> power saving scheme, the power saving gain is in the range of {</w:t>
      </w:r>
      <w:r>
        <w:rPr>
          <w:rFonts w:hint="eastAsia"/>
          <w:i w:val="0"/>
          <w:iCs w:val="0"/>
          <w:lang w:val="en-US" w:eastAsia="zh-CN"/>
        </w:rPr>
        <w:t>6</w:t>
      </w:r>
      <w:r>
        <w:rPr>
          <w:i w:val="0"/>
          <w:iCs w:val="0"/>
        </w:rPr>
        <w:t>%</w:t>
      </w:r>
      <w:r>
        <w:rPr>
          <w:rFonts w:hint="eastAsia"/>
          <w:i w:val="0"/>
          <w:iCs w:val="0"/>
          <w:lang w:val="en-US" w:eastAsia="zh-CN"/>
        </w:rPr>
        <w:t>,6.65%</w:t>
      </w:r>
      <w:r>
        <w:rPr>
          <w:i w:val="0"/>
          <w:iCs w:val="0"/>
        </w:rPr>
        <w:t>} with</w:t>
      </w:r>
      <w:r>
        <w:rPr>
          <w:rFonts w:hint="eastAsia"/>
          <w:i w:val="0"/>
          <w:iCs w:val="0"/>
          <w:lang w:val="en-US" w:eastAsia="zh-CN"/>
        </w:rPr>
        <w:t xml:space="preserve"> 3.03%</w:t>
      </w:r>
      <w:r>
        <w:rPr>
          <w:i w:val="0"/>
          <w:iCs w:val="0"/>
        </w:rPr>
        <w:t xml:space="preserve"> of satisfied UE loss.</w:t>
      </w:r>
      <w:bookmarkEnd w:id="105"/>
      <w:bookmarkEnd w:id="106"/>
      <w:bookmarkEnd w:id="107"/>
      <w:bookmarkEnd w:id="108"/>
      <w:bookmarkEnd w:id="109"/>
    </w:p>
    <w:p>
      <w:pPr>
        <w:pStyle w:val="38"/>
        <w:numPr>
          <w:ilvl w:val="255"/>
          <w:numId w:val="0"/>
        </w:numPr>
        <w:tabs>
          <w:tab w:val="clear" w:pos="0"/>
        </w:tabs>
        <w:spacing w:before="120" w:after="120" w:line="276" w:lineRule="auto"/>
        <w:jc w:val="both"/>
        <w:rPr>
          <w:i w:val="0"/>
          <w:iCs w:val="0"/>
        </w:rPr>
      </w:pPr>
      <w:bookmarkStart w:id="110" w:name="_Toc12655"/>
      <w:bookmarkStart w:id="111" w:name="_Toc30293"/>
      <w:bookmarkStart w:id="112" w:name="_Toc6487"/>
      <w:bookmarkStart w:id="113" w:name="_Toc25522"/>
      <w:bookmarkStart w:id="114" w:name="_Toc87003963"/>
      <w:r>
        <w:rPr>
          <w:rFonts w:hint="eastAsia"/>
          <w:i w:val="0"/>
          <w:iCs w:val="0"/>
          <w:lang w:val="en-US" w:eastAsia="zh-CN"/>
        </w:rPr>
        <w:t xml:space="preserve">- </w:t>
      </w:r>
      <w:r>
        <w:rPr>
          <w:rFonts w:hint="eastAsia"/>
          <w:i w:val="0"/>
          <w:iCs w:val="0"/>
        </w:rPr>
        <w:t>f</w:t>
      </w:r>
      <w:r>
        <w:rPr>
          <w:i w:val="0"/>
          <w:iCs w:val="0"/>
        </w:rPr>
        <w:t>or CDRX alignment power saving scheme, the</w:t>
      </w:r>
      <w:r>
        <w:rPr>
          <w:rFonts w:hint="eastAsia"/>
          <w:i w:val="0"/>
          <w:iCs w:val="0"/>
          <w:lang w:val="en-US" w:eastAsia="zh-CN"/>
        </w:rPr>
        <w:t xml:space="preserve"> </w:t>
      </w:r>
      <w:r>
        <w:rPr>
          <w:i w:val="0"/>
          <w:iCs w:val="0"/>
        </w:rPr>
        <w:t>power saving gain is in the range of {</w:t>
      </w:r>
      <w:r>
        <w:rPr>
          <w:rFonts w:hint="eastAsia"/>
          <w:i w:val="0"/>
          <w:iCs w:val="0"/>
          <w:lang w:val="en-US" w:eastAsia="zh-CN"/>
        </w:rPr>
        <w:t>23.2</w:t>
      </w:r>
      <w:r>
        <w:rPr>
          <w:i w:val="0"/>
          <w:iCs w:val="0"/>
        </w:rPr>
        <w:t>%</w:t>
      </w:r>
      <w:r>
        <w:rPr>
          <w:rFonts w:hint="eastAsia"/>
          <w:i w:val="0"/>
          <w:iCs w:val="0"/>
          <w:lang w:val="en-US" w:eastAsia="zh-CN"/>
        </w:rPr>
        <w:t>,24.6%</w:t>
      </w:r>
      <w:r>
        <w:rPr>
          <w:i w:val="0"/>
          <w:iCs w:val="0"/>
        </w:rPr>
        <w:t>} with</w:t>
      </w:r>
      <w:r>
        <w:rPr>
          <w:rFonts w:hint="eastAsia"/>
          <w:i w:val="0"/>
          <w:iCs w:val="0"/>
          <w:lang w:val="en-US" w:eastAsia="zh-CN"/>
        </w:rPr>
        <w:t xml:space="preserve"> 3.03%</w:t>
      </w:r>
      <w:r>
        <w:rPr>
          <w:i w:val="0"/>
          <w:iCs w:val="0"/>
        </w:rPr>
        <w:t xml:space="preserve"> of satisfied UE loss.</w:t>
      </w:r>
      <w:bookmarkEnd w:id="110"/>
      <w:bookmarkEnd w:id="111"/>
      <w:bookmarkEnd w:id="112"/>
      <w:bookmarkEnd w:id="113"/>
      <w:bookmarkEnd w:id="114"/>
    </w:p>
    <w:p>
      <w:pPr>
        <w:pStyle w:val="38"/>
        <w:numPr>
          <w:ilvl w:val="255"/>
          <w:numId w:val="0"/>
        </w:numPr>
        <w:tabs>
          <w:tab w:val="clear" w:pos="0"/>
        </w:tabs>
        <w:spacing w:before="120" w:after="120" w:line="276" w:lineRule="auto"/>
        <w:jc w:val="both"/>
        <w:rPr>
          <w:i w:val="0"/>
          <w:iCs w:val="0"/>
        </w:rPr>
      </w:pPr>
      <w:bookmarkStart w:id="115" w:name="_Toc17393"/>
      <w:bookmarkStart w:id="116" w:name="_Toc26626"/>
      <w:bookmarkStart w:id="117" w:name="_Toc87003964"/>
      <w:bookmarkStart w:id="118" w:name="_Toc14952"/>
      <w:bookmarkStart w:id="119" w:name="_Toc28346"/>
      <w:r>
        <w:rPr>
          <w:rFonts w:hint="eastAsia"/>
          <w:i w:val="0"/>
          <w:iCs w:val="0"/>
          <w:lang w:val="en-US" w:eastAsia="zh-CN"/>
        </w:rPr>
        <w:t xml:space="preserve">- </w:t>
      </w:r>
      <w:r>
        <w:rPr>
          <w:rFonts w:hint="eastAsia"/>
          <w:i w:val="0"/>
          <w:iCs w:val="0"/>
        </w:rPr>
        <w:t>f</w:t>
      </w:r>
      <w:r>
        <w:rPr>
          <w:i w:val="0"/>
          <w:iCs w:val="0"/>
        </w:rPr>
        <w:t>or eCDRX with flexible additional PDCCH monitoring, the power saving gain is in the range of {</w:t>
      </w:r>
      <w:r>
        <w:rPr>
          <w:rFonts w:hint="eastAsia"/>
          <w:i w:val="0"/>
          <w:iCs w:val="0"/>
          <w:lang w:val="en-US" w:eastAsia="zh-CN"/>
        </w:rPr>
        <w:t>20.5</w:t>
      </w:r>
      <w:r>
        <w:rPr>
          <w:i w:val="0"/>
          <w:iCs w:val="0"/>
        </w:rPr>
        <w:t>%</w:t>
      </w:r>
      <w:r>
        <w:rPr>
          <w:rFonts w:hint="eastAsia"/>
          <w:i w:val="0"/>
          <w:iCs w:val="0"/>
          <w:lang w:val="en-US" w:eastAsia="zh-CN"/>
        </w:rPr>
        <w:t>,21.6%</w:t>
      </w:r>
      <w:r>
        <w:rPr>
          <w:i w:val="0"/>
          <w:iCs w:val="0"/>
        </w:rPr>
        <w:t>} with</w:t>
      </w:r>
      <w:r>
        <w:rPr>
          <w:rFonts w:hint="eastAsia"/>
          <w:i w:val="0"/>
          <w:iCs w:val="0"/>
          <w:lang w:val="en-US" w:eastAsia="zh-CN"/>
        </w:rPr>
        <w:t xml:space="preserve"> 1.51%</w:t>
      </w:r>
      <w:r>
        <w:rPr>
          <w:i w:val="0"/>
          <w:iCs w:val="0"/>
        </w:rPr>
        <w:t xml:space="preserve"> of satisfied UE loss.</w:t>
      </w:r>
      <w:bookmarkEnd w:id="115"/>
      <w:bookmarkEnd w:id="116"/>
      <w:bookmarkEnd w:id="117"/>
      <w:bookmarkEnd w:id="118"/>
      <w:bookmarkEnd w:id="119"/>
    </w:p>
    <w:p>
      <w:pPr>
        <w:spacing w:before="120" w:after="120" w:line="256" w:lineRule="auto"/>
        <w:jc w:val="center"/>
      </w:pPr>
      <w:r>
        <w:rPr>
          <w:rFonts w:hint="eastAsia"/>
          <w:szCs w:val="22"/>
        </w:rPr>
        <w:t xml:space="preserve">Table 6 </w:t>
      </w:r>
      <w:r>
        <w:t xml:space="preserve">FR1 power consumption results in Indoor Hotspot scenario </w:t>
      </w:r>
      <w:r>
        <w:rPr>
          <w:rFonts w:hint="eastAsia"/>
        </w:rPr>
        <w:t>(CG30M + pose/control)</w:t>
      </w:r>
    </w:p>
    <w:tbl>
      <w:tblPr>
        <w:tblStyle w:val="27"/>
        <w:tblW w:w="0" w:type="auto"/>
        <w:jc w:val="center"/>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3"/>
        <w:gridCol w:w="979"/>
        <w:gridCol w:w="721"/>
        <w:gridCol w:w="661"/>
        <w:gridCol w:w="663"/>
        <w:gridCol w:w="1149"/>
        <w:gridCol w:w="1412"/>
        <w:gridCol w:w="1121"/>
        <w:gridCol w:w="1257"/>
      </w:tblGrid>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Borders>
              <w:left w:val="single" w:color="auto" w:sz="4" w:space="0"/>
            </w:tcBorders>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satisfied UE</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Always On</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96.53%</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b/>
                <w:sz w:val="18"/>
                <w:szCs w:val="18"/>
              </w:rPr>
            </w:pPr>
            <w:r>
              <w:rPr>
                <w:rFonts w:ascii="Times New Roman" w:hAnsi="Times New Roman" w:cs="Times New Roman"/>
                <w:sz w:val="18"/>
                <w:szCs w:val="18"/>
              </w:rPr>
              <w:t>R15 CDRX</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0</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88.8</w:t>
            </w:r>
            <w:r>
              <w:rPr>
                <w:rFonts w:hint="eastAsia" w:ascii="Times New Roman" w:hAnsi="Times New Roman" w:cs="Times New Roman"/>
                <w:sz w:val="18"/>
                <w:szCs w:val="18"/>
              </w:rPr>
              <w:t>9</w:t>
            </w:r>
            <w:r>
              <w:rPr>
                <w:rFonts w:ascii="Times New Roman" w:hAnsi="Times New Roman" w:cs="Times New Roman"/>
                <w:sz w:val="18"/>
                <w:szCs w:val="18"/>
              </w:rPr>
              <w:t>%</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4.5%</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6.3%</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restart"/>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CDRX alignment</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12</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12</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84%</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21.2%</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23.7%</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88.89%</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14.7%</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16.6%</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eCDRX with flexible additional PDCCH monitoring</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8</w:t>
            </w:r>
            <w:r>
              <w:rPr>
                <w:rFonts w:ascii="Times New Roman" w:hAnsi="Times New Roman" w:cs="Times New Roman"/>
                <w:sz w:val="18"/>
                <w:szCs w:val="18"/>
              </w:rPr>
              <w:t>8.19%</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21.3%</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22.7%</w:t>
            </w:r>
          </w:p>
        </w:tc>
      </w:tr>
    </w:tbl>
    <w:p>
      <w:pPr>
        <w:pStyle w:val="38"/>
        <w:numPr>
          <w:ilvl w:val="0"/>
          <w:numId w:val="0"/>
        </w:numPr>
        <w:spacing w:before="120" w:after="120" w:line="276" w:lineRule="auto"/>
        <w:jc w:val="both"/>
        <w:rPr>
          <w:i w:val="0"/>
          <w:iCs w:val="0"/>
        </w:rPr>
      </w:pPr>
      <w:bookmarkStart w:id="120" w:name="_Toc24390"/>
      <w:bookmarkStart w:id="121" w:name="_Toc87003969"/>
      <w:bookmarkStart w:id="122" w:name="_Toc8040"/>
      <w:bookmarkStart w:id="123" w:name="_Toc24559"/>
    </w:p>
    <w:p>
      <w:pPr>
        <w:pStyle w:val="38"/>
        <w:spacing w:before="120" w:after="120" w:line="276" w:lineRule="auto"/>
        <w:jc w:val="both"/>
        <w:rPr>
          <w:i w:val="0"/>
          <w:iCs w:val="0"/>
        </w:rPr>
      </w:pPr>
      <w:bookmarkStart w:id="124" w:name="_Toc28978"/>
      <w:r>
        <w:rPr>
          <w:i w:val="0"/>
          <w:iCs w:val="0"/>
        </w:rPr>
        <w:t xml:space="preserve">In FR1, DL+UL, </w:t>
      </w:r>
      <w:r>
        <w:rPr>
          <w:rFonts w:hint="eastAsia"/>
          <w:i w:val="0"/>
          <w:iCs w:val="0"/>
          <w:lang w:val="en-US" w:eastAsia="zh-CN"/>
        </w:rPr>
        <w:t>InH</w:t>
      </w:r>
      <w:r>
        <w:rPr>
          <w:i w:val="0"/>
          <w:iCs w:val="0"/>
        </w:rPr>
        <w:t xml:space="preserve">, high load, </w:t>
      </w:r>
      <w:r>
        <w:rPr>
          <w:rFonts w:hint="eastAsia"/>
          <w:i w:val="0"/>
          <w:iCs w:val="0"/>
          <w:lang w:val="en-US" w:eastAsia="zh-CN"/>
        </w:rPr>
        <w:t>CG30</w:t>
      </w:r>
      <w:r>
        <w:rPr>
          <w:i w:val="0"/>
          <w:iCs w:val="0"/>
        </w:rPr>
        <w:t>,</w:t>
      </w:r>
      <w:r>
        <w:rPr>
          <w:rFonts w:hint="eastAsia"/>
          <w:i w:val="0"/>
          <w:iCs w:val="0"/>
          <w:lang w:val="en-US" w:eastAsia="zh-CN"/>
        </w:rPr>
        <w:t xml:space="preserve"> c</w:t>
      </w:r>
      <w:r>
        <w:rPr>
          <w:i w:val="0"/>
          <w:iCs w:val="0"/>
        </w:rPr>
        <w:t>omparing to the scheme(UE always on), following is observed:</w:t>
      </w:r>
      <w:bookmarkEnd w:id="120"/>
      <w:bookmarkEnd w:id="121"/>
      <w:bookmarkEnd w:id="122"/>
      <w:bookmarkEnd w:id="123"/>
      <w:bookmarkEnd w:id="124"/>
    </w:p>
    <w:p>
      <w:pPr>
        <w:pStyle w:val="38"/>
        <w:numPr>
          <w:ilvl w:val="255"/>
          <w:numId w:val="0"/>
        </w:numPr>
        <w:tabs>
          <w:tab w:val="clear" w:pos="0"/>
        </w:tabs>
        <w:spacing w:before="120" w:after="120" w:line="276" w:lineRule="auto"/>
        <w:jc w:val="both"/>
        <w:rPr>
          <w:i w:val="0"/>
          <w:iCs w:val="0"/>
        </w:rPr>
      </w:pPr>
      <w:bookmarkStart w:id="125" w:name="_Toc87003970"/>
      <w:bookmarkStart w:id="126" w:name="_Toc18224"/>
      <w:bookmarkStart w:id="127" w:name="_Toc25226"/>
      <w:bookmarkStart w:id="128" w:name="_Toc24307"/>
      <w:bookmarkStart w:id="129" w:name="_Toc10888"/>
      <w:r>
        <w:rPr>
          <w:rFonts w:hint="eastAsia"/>
          <w:i w:val="0"/>
          <w:iCs w:val="0"/>
          <w:lang w:val="en-US" w:eastAsia="zh-CN"/>
        </w:rPr>
        <w:t xml:space="preserve">- </w:t>
      </w:r>
      <w:r>
        <w:rPr>
          <w:rFonts w:hint="eastAsia"/>
          <w:i w:val="0"/>
          <w:iCs w:val="0"/>
        </w:rPr>
        <w:t>f</w:t>
      </w:r>
      <w:r>
        <w:rPr>
          <w:i w:val="0"/>
          <w:iCs w:val="0"/>
        </w:rPr>
        <w:t xml:space="preserve">or </w:t>
      </w:r>
      <w:r>
        <w:rPr>
          <w:rFonts w:hint="eastAsia"/>
          <w:i w:val="0"/>
          <w:iCs w:val="0"/>
          <w:lang w:val="en-US" w:eastAsia="zh-CN"/>
        </w:rPr>
        <w:t xml:space="preserve">R15 CDRX </w:t>
      </w:r>
      <w:r>
        <w:rPr>
          <w:i w:val="0"/>
          <w:iCs w:val="0"/>
        </w:rPr>
        <w:t>power saving scheme, the</w:t>
      </w:r>
      <w:r>
        <w:rPr>
          <w:rFonts w:hint="eastAsia"/>
          <w:i w:val="0"/>
          <w:iCs w:val="0"/>
          <w:lang w:val="en-US" w:eastAsia="zh-CN"/>
        </w:rPr>
        <w:t xml:space="preserve"> </w:t>
      </w:r>
      <w:r>
        <w:rPr>
          <w:i w:val="0"/>
          <w:iCs w:val="0"/>
        </w:rPr>
        <w:t>power saving gain is in the range of {</w:t>
      </w:r>
      <w:r>
        <w:rPr>
          <w:rFonts w:hint="eastAsia"/>
          <w:i w:val="0"/>
          <w:iCs w:val="0"/>
          <w:lang w:val="en-US" w:eastAsia="zh-CN"/>
        </w:rPr>
        <w:t>4.5</w:t>
      </w:r>
      <w:r>
        <w:rPr>
          <w:i w:val="0"/>
          <w:iCs w:val="0"/>
        </w:rPr>
        <w:t>%</w:t>
      </w:r>
      <w:r>
        <w:rPr>
          <w:rFonts w:hint="eastAsia"/>
          <w:i w:val="0"/>
          <w:iCs w:val="0"/>
          <w:lang w:val="en-US" w:eastAsia="zh-CN"/>
        </w:rPr>
        <w:t>,6.3%</w:t>
      </w:r>
      <w:r>
        <w:rPr>
          <w:i w:val="0"/>
          <w:iCs w:val="0"/>
        </w:rPr>
        <w:t>} with</w:t>
      </w:r>
      <w:r>
        <w:rPr>
          <w:rFonts w:hint="eastAsia"/>
          <w:i w:val="0"/>
          <w:iCs w:val="0"/>
          <w:lang w:val="en-US" w:eastAsia="zh-CN"/>
        </w:rPr>
        <w:t xml:space="preserve"> 7.64% </w:t>
      </w:r>
      <w:r>
        <w:rPr>
          <w:i w:val="0"/>
          <w:iCs w:val="0"/>
        </w:rPr>
        <w:t>of satisfied UE loss.</w:t>
      </w:r>
      <w:bookmarkEnd w:id="125"/>
      <w:bookmarkEnd w:id="126"/>
      <w:bookmarkEnd w:id="127"/>
      <w:bookmarkEnd w:id="128"/>
      <w:bookmarkEnd w:id="129"/>
    </w:p>
    <w:p>
      <w:pPr>
        <w:pStyle w:val="38"/>
        <w:numPr>
          <w:ilvl w:val="255"/>
          <w:numId w:val="0"/>
        </w:numPr>
        <w:tabs>
          <w:tab w:val="clear" w:pos="0"/>
        </w:tabs>
        <w:spacing w:before="120" w:after="120" w:line="276" w:lineRule="auto"/>
        <w:jc w:val="both"/>
        <w:rPr>
          <w:i w:val="0"/>
          <w:iCs w:val="0"/>
        </w:rPr>
      </w:pPr>
      <w:bookmarkStart w:id="130" w:name="_Toc18354"/>
      <w:bookmarkStart w:id="131" w:name="_Toc5856"/>
      <w:bookmarkStart w:id="132" w:name="_Toc6407"/>
      <w:bookmarkStart w:id="133" w:name="_Toc22454"/>
      <w:bookmarkStart w:id="134" w:name="_Toc87003971"/>
      <w:r>
        <w:rPr>
          <w:rFonts w:hint="eastAsia"/>
          <w:i w:val="0"/>
          <w:iCs w:val="0"/>
          <w:lang w:val="en-US" w:eastAsia="zh-CN"/>
        </w:rPr>
        <w:t xml:space="preserve">- </w:t>
      </w:r>
      <w:r>
        <w:rPr>
          <w:rFonts w:hint="eastAsia"/>
          <w:i w:val="0"/>
          <w:iCs w:val="0"/>
        </w:rPr>
        <w:t>f</w:t>
      </w:r>
      <w:r>
        <w:rPr>
          <w:i w:val="0"/>
          <w:iCs w:val="0"/>
        </w:rPr>
        <w:t>or CDRX alignment power saving scheme, the power saving gain is in the range of {</w:t>
      </w:r>
      <w:r>
        <w:rPr>
          <w:rFonts w:hint="eastAsia"/>
          <w:i w:val="0"/>
          <w:iCs w:val="0"/>
          <w:lang w:val="en-US" w:eastAsia="zh-CN"/>
        </w:rPr>
        <w:t>14.7</w:t>
      </w:r>
      <w:r>
        <w:rPr>
          <w:i w:val="0"/>
          <w:iCs w:val="0"/>
        </w:rPr>
        <w:t>%</w:t>
      </w:r>
      <w:r>
        <w:rPr>
          <w:rFonts w:hint="eastAsia"/>
          <w:i w:val="0"/>
          <w:iCs w:val="0"/>
          <w:lang w:val="en-US" w:eastAsia="zh-CN"/>
        </w:rPr>
        <w:t>,23.7%</w:t>
      </w:r>
      <w:r>
        <w:rPr>
          <w:i w:val="0"/>
          <w:iCs w:val="0"/>
        </w:rPr>
        <w:t>} with</w:t>
      </w:r>
      <w:r>
        <w:rPr>
          <w:rFonts w:hint="eastAsia"/>
          <w:i w:val="0"/>
          <w:iCs w:val="0"/>
          <w:lang w:val="en-US" w:eastAsia="zh-CN"/>
        </w:rPr>
        <w:t xml:space="preserve"> {7.64%-12.53%}% </w:t>
      </w:r>
      <w:r>
        <w:rPr>
          <w:i w:val="0"/>
          <w:iCs w:val="0"/>
        </w:rPr>
        <w:t>of satisfied UE loss.</w:t>
      </w:r>
      <w:bookmarkEnd w:id="130"/>
      <w:bookmarkEnd w:id="131"/>
      <w:bookmarkEnd w:id="132"/>
      <w:bookmarkEnd w:id="133"/>
      <w:bookmarkEnd w:id="134"/>
    </w:p>
    <w:p>
      <w:pPr>
        <w:pStyle w:val="38"/>
        <w:numPr>
          <w:ilvl w:val="255"/>
          <w:numId w:val="0"/>
        </w:numPr>
        <w:tabs>
          <w:tab w:val="clear" w:pos="0"/>
        </w:tabs>
        <w:spacing w:before="120" w:after="120" w:line="276" w:lineRule="auto"/>
        <w:jc w:val="both"/>
        <w:rPr>
          <w:i w:val="0"/>
          <w:iCs w:val="0"/>
        </w:rPr>
      </w:pPr>
      <w:bookmarkStart w:id="135" w:name="_Toc597"/>
      <w:bookmarkStart w:id="136" w:name="_Toc1244"/>
      <w:bookmarkStart w:id="137" w:name="_Toc87003972"/>
      <w:bookmarkStart w:id="138" w:name="_Toc11945"/>
      <w:bookmarkStart w:id="139" w:name="_Toc2108"/>
      <w:r>
        <w:rPr>
          <w:rFonts w:hint="eastAsia"/>
          <w:i w:val="0"/>
          <w:iCs w:val="0"/>
          <w:lang w:val="en-US" w:eastAsia="zh-CN"/>
        </w:rPr>
        <w:t xml:space="preserve">- </w:t>
      </w:r>
      <w:r>
        <w:rPr>
          <w:rFonts w:hint="eastAsia"/>
          <w:i w:val="0"/>
          <w:iCs w:val="0"/>
        </w:rPr>
        <w:t>f</w:t>
      </w:r>
      <w:r>
        <w:rPr>
          <w:i w:val="0"/>
          <w:iCs w:val="0"/>
        </w:rPr>
        <w:t>or eCDRX with flexible additional PDCCH monitoring, the power saving gain is in the range of {</w:t>
      </w:r>
      <w:r>
        <w:rPr>
          <w:rFonts w:hint="eastAsia"/>
          <w:i w:val="0"/>
          <w:iCs w:val="0"/>
          <w:lang w:val="en-US" w:eastAsia="zh-CN"/>
        </w:rPr>
        <w:t>21.3</w:t>
      </w:r>
      <w:r>
        <w:rPr>
          <w:i w:val="0"/>
          <w:iCs w:val="0"/>
        </w:rPr>
        <w:t>%</w:t>
      </w:r>
      <w:r>
        <w:rPr>
          <w:rFonts w:hint="eastAsia"/>
          <w:i w:val="0"/>
          <w:iCs w:val="0"/>
          <w:lang w:val="en-US" w:eastAsia="zh-CN"/>
        </w:rPr>
        <w:t>,22.7%</w:t>
      </w:r>
      <w:r>
        <w:rPr>
          <w:i w:val="0"/>
          <w:iCs w:val="0"/>
        </w:rPr>
        <w:t>} with</w:t>
      </w:r>
      <w:r>
        <w:rPr>
          <w:rFonts w:hint="eastAsia"/>
          <w:i w:val="0"/>
          <w:iCs w:val="0"/>
          <w:lang w:val="en-US" w:eastAsia="zh-CN"/>
        </w:rPr>
        <w:t xml:space="preserve"> 8.34% </w:t>
      </w:r>
      <w:r>
        <w:rPr>
          <w:i w:val="0"/>
          <w:iCs w:val="0"/>
        </w:rPr>
        <w:t>of satisfied UE loss.</w:t>
      </w:r>
      <w:bookmarkEnd w:id="135"/>
      <w:bookmarkEnd w:id="136"/>
      <w:bookmarkEnd w:id="137"/>
      <w:bookmarkEnd w:id="138"/>
      <w:bookmarkEnd w:id="139"/>
    </w:p>
    <w:p>
      <w:pPr>
        <w:spacing w:before="120" w:after="120" w:line="256" w:lineRule="auto"/>
        <w:jc w:val="center"/>
      </w:pPr>
      <w:r>
        <w:rPr>
          <w:rFonts w:hint="eastAsia"/>
          <w:szCs w:val="22"/>
        </w:rPr>
        <w:t xml:space="preserve">Table 7 </w:t>
      </w:r>
      <w:r>
        <w:t xml:space="preserve">FR1 power consumption results in Indoor Hotspot scenario </w:t>
      </w:r>
      <w:r>
        <w:rPr>
          <w:rFonts w:hint="eastAsia"/>
        </w:rPr>
        <w:t>(VR45M + pose/control)</w:t>
      </w:r>
    </w:p>
    <w:tbl>
      <w:tblPr>
        <w:tblStyle w:val="27"/>
        <w:tblW w:w="0" w:type="auto"/>
        <w:jc w:val="center"/>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058"/>
        <w:gridCol w:w="758"/>
        <w:gridCol w:w="695"/>
        <w:gridCol w:w="698"/>
        <w:gridCol w:w="1190"/>
        <w:gridCol w:w="1526"/>
        <w:gridCol w:w="1265"/>
        <w:gridCol w:w="1390"/>
      </w:tblGrid>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Borders>
              <w:left w:val="single" w:color="auto" w:sz="4" w:space="0"/>
            </w:tcBorders>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c>
          <w:tcPr>
            <w:tcW w:w="0" w:type="auto"/>
            <w:shd w:val="clear" w:color="auto" w:fill="auto"/>
            <w:vAlign w:val="center"/>
          </w:tcPr>
          <w:p>
            <w:pPr>
              <w:pStyle w:val="81"/>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satisfied UE</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jc w:val="center"/>
        </w:trPr>
        <w:tc>
          <w:tcPr>
            <w:tcW w:w="0" w:type="auto"/>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Always On</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91%</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b/>
                <w:sz w:val="18"/>
                <w:szCs w:val="18"/>
              </w:rPr>
            </w:pPr>
            <w:r>
              <w:rPr>
                <w:rFonts w:ascii="Times New Roman" w:hAnsi="Times New Roman" w:cs="Times New Roman"/>
                <w:sz w:val="18"/>
                <w:szCs w:val="18"/>
              </w:rPr>
              <w:t>R15 CDRX</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0</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87%</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7.22%</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7.82%</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tcBorders>
              <w:left w:val="single" w:color="auto" w:sz="4" w:space="0"/>
            </w:tcBorders>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CDRX alignment</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89%</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19.6%</w:t>
            </w:r>
          </w:p>
        </w:tc>
        <w:tc>
          <w:tcPr>
            <w:tcW w:w="0" w:type="auto"/>
            <w:shd w:val="clear" w:color="auto" w:fill="auto"/>
            <w:vAlign w:val="center"/>
          </w:tcPr>
          <w:p>
            <w:pPr>
              <w:pStyle w:val="81"/>
              <w:spacing w:before="0" w:beforeLines="0" w:after="0" w:afterLines="0" w:line="240" w:lineRule="auto"/>
              <w:jc w:val="center"/>
              <w:rPr>
                <w:rFonts w:ascii="Times New Roman" w:hAnsi="Times New Roman" w:cs="Times New Roman"/>
                <w:sz w:val="18"/>
                <w:szCs w:val="18"/>
              </w:rPr>
            </w:pPr>
            <w:r>
              <w:rPr>
                <w:rFonts w:hint="eastAsia" w:ascii="Times New Roman" w:hAnsi="Times New Roman" w:cs="Times New Roman"/>
                <w:sz w:val="18"/>
                <w:szCs w:val="18"/>
              </w:rPr>
              <w:t>20.5%</w:t>
            </w:r>
          </w:p>
        </w:tc>
      </w:tr>
    </w:tbl>
    <w:p>
      <w:pPr>
        <w:spacing w:before="120" w:after="120" w:line="256" w:lineRule="auto"/>
      </w:pPr>
    </w:p>
    <w:p>
      <w:pPr>
        <w:pStyle w:val="38"/>
        <w:spacing w:before="120" w:after="120" w:line="276" w:lineRule="auto"/>
        <w:jc w:val="both"/>
        <w:rPr>
          <w:i w:val="0"/>
          <w:iCs w:val="0"/>
        </w:rPr>
      </w:pPr>
      <w:bookmarkStart w:id="140" w:name="_Toc19795"/>
      <w:bookmarkStart w:id="141" w:name="_Toc12410"/>
      <w:bookmarkStart w:id="142" w:name="_Toc87003965"/>
      <w:bookmarkStart w:id="143" w:name="_Toc2314"/>
      <w:bookmarkStart w:id="144" w:name="_Toc9042"/>
      <w:r>
        <w:rPr>
          <w:i w:val="0"/>
          <w:iCs w:val="0"/>
        </w:rPr>
        <w:t xml:space="preserve">In FR1, DL+UL, </w:t>
      </w:r>
      <w:r>
        <w:rPr>
          <w:rFonts w:hint="eastAsia"/>
          <w:i w:val="0"/>
          <w:iCs w:val="0"/>
          <w:lang w:val="en-US" w:eastAsia="zh-CN"/>
        </w:rPr>
        <w:t>InH</w:t>
      </w:r>
      <w:r>
        <w:rPr>
          <w:i w:val="0"/>
          <w:iCs w:val="0"/>
        </w:rPr>
        <w:t>, high load, VR</w:t>
      </w:r>
      <w:r>
        <w:rPr>
          <w:rFonts w:hint="eastAsia"/>
          <w:i w:val="0"/>
          <w:iCs w:val="0"/>
          <w:lang w:val="en-US" w:eastAsia="zh-CN"/>
        </w:rPr>
        <w:t>45</w:t>
      </w:r>
      <w:r>
        <w:rPr>
          <w:i w:val="0"/>
          <w:iCs w:val="0"/>
        </w:rPr>
        <w:t>,</w:t>
      </w:r>
      <w:r>
        <w:rPr>
          <w:rFonts w:hint="eastAsia"/>
          <w:i w:val="0"/>
          <w:iCs w:val="0"/>
          <w:lang w:val="en-US" w:eastAsia="zh-CN"/>
        </w:rPr>
        <w:t xml:space="preserve"> c</w:t>
      </w:r>
      <w:r>
        <w:rPr>
          <w:i w:val="0"/>
          <w:iCs w:val="0"/>
        </w:rPr>
        <w:t>omparing to the scheme(UE always on), following is observed:</w:t>
      </w:r>
      <w:bookmarkEnd w:id="140"/>
      <w:bookmarkEnd w:id="141"/>
      <w:bookmarkEnd w:id="142"/>
      <w:bookmarkEnd w:id="143"/>
      <w:bookmarkEnd w:id="144"/>
    </w:p>
    <w:p>
      <w:pPr>
        <w:pStyle w:val="38"/>
        <w:numPr>
          <w:ilvl w:val="255"/>
          <w:numId w:val="0"/>
        </w:numPr>
        <w:tabs>
          <w:tab w:val="clear" w:pos="0"/>
        </w:tabs>
        <w:spacing w:before="120" w:after="120" w:line="276" w:lineRule="auto"/>
        <w:jc w:val="both"/>
        <w:rPr>
          <w:i w:val="0"/>
          <w:iCs w:val="0"/>
        </w:rPr>
      </w:pPr>
      <w:bookmarkStart w:id="145" w:name="_Toc17159"/>
      <w:bookmarkStart w:id="146" w:name="_Toc30295"/>
      <w:bookmarkStart w:id="147" w:name="_Toc87003966"/>
      <w:bookmarkStart w:id="148" w:name="_Toc408"/>
      <w:bookmarkStart w:id="149" w:name="_Toc12860"/>
      <w:r>
        <w:rPr>
          <w:rFonts w:hint="eastAsia"/>
          <w:i w:val="0"/>
          <w:iCs w:val="0"/>
          <w:lang w:val="en-US" w:eastAsia="zh-CN"/>
        </w:rPr>
        <w:t xml:space="preserve">- </w:t>
      </w:r>
      <w:r>
        <w:rPr>
          <w:rFonts w:hint="eastAsia"/>
          <w:i w:val="0"/>
          <w:iCs w:val="0"/>
        </w:rPr>
        <w:t>f</w:t>
      </w:r>
      <w:r>
        <w:rPr>
          <w:i w:val="0"/>
          <w:iCs w:val="0"/>
        </w:rPr>
        <w:t xml:space="preserve">or </w:t>
      </w:r>
      <w:r>
        <w:rPr>
          <w:rFonts w:hint="eastAsia"/>
          <w:i w:val="0"/>
          <w:iCs w:val="0"/>
          <w:lang w:val="en-US" w:eastAsia="zh-CN"/>
        </w:rPr>
        <w:t xml:space="preserve">R15 CDRX </w:t>
      </w:r>
      <w:r>
        <w:rPr>
          <w:i w:val="0"/>
          <w:iCs w:val="0"/>
        </w:rPr>
        <w:t>power saving scheme, the power saving gain is in the range of {</w:t>
      </w:r>
      <w:r>
        <w:rPr>
          <w:rFonts w:hint="eastAsia"/>
          <w:i w:val="0"/>
          <w:iCs w:val="0"/>
          <w:lang w:val="en-US" w:eastAsia="zh-CN"/>
        </w:rPr>
        <w:t>7.22</w:t>
      </w:r>
      <w:r>
        <w:rPr>
          <w:i w:val="0"/>
          <w:iCs w:val="0"/>
        </w:rPr>
        <w:t>%</w:t>
      </w:r>
      <w:r>
        <w:rPr>
          <w:rFonts w:hint="eastAsia"/>
          <w:i w:val="0"/>
          <w:iCs w:val="0"/>
          <w:lang w:val="en-US" w:eastAsia="zh-CN"/>
        </w:rPr>
        <w:t>,7.83%</w:t>
      </w:r>
      <w:r>
        <w:rPr>
          <w:i w:val="0"/>
          <w:iCs w:val="0"/>
        </w:rPr>
        <w:t>} with</w:t>
      </w:r>
      <w:r>
        <w:rPr>
          <w:rFonts w:hint="eastAsia"/>
          <w:i w:val="0"/>
          <w:iCs w:val="0"/>
          <w:lang w:val="en-US" w:eastAsia="zh-CN"/>
        </w:rPr>
        <w:t xml:space="preserve"> 4% </w:t>
      </w:r>
      <w:r>
        <w:rPr>
          <w:i w:val="0"/>
          <w:iCs w:val="0"/>
        </w:rPr>
        <w:t>of satisfied UE loss.</w:t>
      </w:r>
      <w:bookmarkEnd w:id="145"/>
      <w:bookmarkEnd w:id="146"/>
      <w:bookmarkEnd w:id="147"/>
      <w:bookmarkEnd w:id="148"/>
      <w:bookmarkEnd w:id="149"/>
    </w:p>
    <w:p>
      <w:pPr>
        <w:pStyle w:val="38"/>
        <w:numPr>
          <w:ilvl w:val="255"/>
          <w:numId w:val="0"/>
        </w:numPr>
        <w:tabs>
          <w:tab w:val="clear" w:pos="0"/>
        </w:tabs>
        <w:spacing w:before="120" w:after="120" w:line="276" w:lineRule="auto"/>
        <w:jc w:val="both"/>
      </w:pPr>
      <w:bookmarkStart w:id="150" w:name="_Toc10002"/>
      <w:bookmarkStart w:id="151" w:name="_Toc87003967"/>
      <w:bookmarkStart w:id="152" w:name="_Toc13439"/>
      <w:bookmarkStart w:id="153" w:name="_Toc12066"/>
      <w:bookmarkStart w:id="154" w:name="_Toc11515"/>
      <w:r>
        <w:rPr>
          <w:rFonts w:hint="eastAsia"/>
          <w:i w:val="0"/>
          <w:iCs w:val="0"/>
          <w:lang w:val="en-US" w:eastAsia="zh-CN"/>
        </w:rPr>
        <w:t xml:space="preserve">- </w:t>
      </w:r>
      <w:r>
        <w:rPr>
          <w:rFonts w:hint="eastAsia"/>
          <w:i w:val="0"/>
          <w:iCs w:val="0"/>
        </w:rPr>
        <w:t>f</w:t>
      </w:r>
      <w:r>
        <w:rPr>
          <w:i w:val="0"/>
          <w:iCs w:val="0"/>
        </w:rPr>
        <w:t>or CDRX alignment power saving scheme, the power saving gain is in the range of {</w:t>
      </w:r>
      <w:r>
        <w:rPr>
          <w:rFonts w:hint="eastAsia"/>
          <w:i w:val="0"/>
          <w:iCs w:val="0"/>
          <w:lang w:val="en-US" w:eastAsia="zh-CN"/>
        </w:rPr>
        <w:t>19.6</w:t>
      </w:r>
      <w:r>
        <w:rPr>
          <w:i w:val="0"/>
          <w:iCs w:val="0"/>
        </w:rPr>
        <w:t>%</w:t>
      </w:r>
      <w:r>
        <w:rPr>
          <w:rFonts w:hint="eastAsia"/>
          <w:i w:val="0"/>
          <w:iCs w:val="0"/>
          <w:lang w:val="en-US" w:eastAsia="zh-CN"/>
        </w:rPr>
        <w:t>,20.5%</w:t>
      </w:r>
      <w:r>
        <w:rPr>
          <w:i w:val="0"/>
          <w:iCs w:val="0"/>
        </w:rPr>
        <w:t>} with</w:t>
      </w:r>
      <w:r>
        <w:rPr>
          <w:rFonts w:hint="eastAsia"/>
          <w:i w:val="0"/>
          <w:iCs w:val="0"/>
          <w:lang w:val="en-US" w:eastAsia="zh-CN"/>
        </w:rPr>
        <w:t xml:space="preserve"> 2% </w:t>
      </w:r>
      <w:r>
        <w:rPr>
          <w:i w:val="0"/>
          <w:iCs w:val="0"/>
        </w:rPr>
        <w:t>of satisfied UE loss.</w:t>
      </w:r>
      <w:bookmarkEnd w:id="150"/>
      <w:bookmarkEnd w:id="151"/>
      <w:bookmarkEnd w:id="152"/>
      <w:bookmarkEnd w:id="153"/>
      <w:bookmarkEnd w:id="154"/>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Conclusion</w:t>
      </w:r>
    </w:p>
    <w:p>
      <w:pPr>
        <w:spacing w:before="120" w:after="120"/>
      </w:pPr>
      <w:r>
        <w:rPr>
          <w:rFonts w:hint="eastAsia"/>
        </w:rPr>
        <w:t>In this contribution, we discuss the</w:t>
      </w:r>
      <w:r>
        <w:t xml:space="preserve"> XR-specific power saving techniques and we</w:t>
      </w:r>
      <w:r>
        <w:rPr>
          <w:rFonts w:hint="eastAsia"/>
        </w:rPr>
        <w:t xml:space="preserve"> have the following observations and proposals.</w:t>
      </w:r>
    </w:p>
    <w:p>
      <w:pPr>
        <w:pStyle w:val="21"/>
        <w:tabs>
          <w:tab w:val="right" w:leader="dot" w:pos="9660"/>
          <w:tab w:val="clear" w:pos="0"/>
        </w:tabs>
        <w:spacing w:before="120" w:after="120"/>
        <w:jc w:val="both"/>
      </w:pPr>
      <w:r>
        <w:rPr>
          <w:sz w:val="21"/>
          <w:szCs w:val="22"/>
        </w:rPr>
        <w:fldChar w:fldCharType="begin"/>
      </w:r>
      <w:r>
        <w:rPr>
          <w:sz w:val="21"/>
          <w:szCs w:val="22"/>
        </w:rPr>
        <w:instrText xml:space="preserve">TOC \n  \t "YJ-Observation,1,sub-observation,2,3rd level observation,3" \h</w:instrText>
      </w:r>
      <w:r>
        <w:rPr>
          <w:sz w:val="21"/>
          <w:szCs w:val="22"/>
        </w:rPr>
        <w:fldChar w:fldCharType="separate"/>
      </w:r>
      <w:r>
        <w:fldChar w:fldCharType="begin"/>
      </w:r>
      <w:r>
        <w:instrText xml:space="preserve"> HYPERLINK \l "_Toc29707" </w:instrText>
      </w:r>
      <w:r>
        <w:fldChar w:fldCharType="separate"/>
      </w:r>
      <w:r>
        <w:rPr>
          <w:rFonts w:eastAsia="宋体"/>
          <w:i w:val="0"/>
          <w:iCs w:val="0"/>
          <w:szCs w:val="21"/>
        </w:rPr>
        <w:t xml:space="preserve">Observation 1: </w:t>
      </w:r>
      <w:r>
        <w:rPr>
          <w:rFonts w:hint="eastAsia"/>
          <w:i w:val="0"/>
          <w:iCs w:val="0"/>
        </w:rPr>
        <w:t xml:space="preserve">Due to the </w:t>
      </w:r>
      <w:r>
        <w:rPr>
          <w:i w:val="0"/>
          <w:iCs w:val="0"/>
        </w:rPr>
        <w:t>mismatch</w:t>
      </w:r>
      <w:r>
        <w:rPr>
          <w:rFonts w:hint="eastAsia"/>
          <w:i w:val="0"/>
          <w:iCs w:val="0"/>
        </w:rPr>
        <w:t xml:space="preserve"> between XR traffic period</w:t>
      </w:r>
      <w:r>
        <w:rPr>
          <w:i w:val="0"/>
          <w:iCs w:val="0"/>
        </w:rPr>
        <w:t>icity</w:t>
      </w:r>
      <w:r>
        <w:rPr>
          <w:rFonts w:hint="eastAsia"/>
          <w:i w:val="0"/>
          <w:iCs w:val="0"/>
        </w:rPr>
        <w:t xml:space="preserve"> and CDRX cycle, </w:t>
      </w:r>
      <w:r>
        <w:rPr>
          <w:i w:val="0"/>
          <w:iCs w:val="0"/>
        </w:rPr>
        <w:t>XR data</w:t>
      </w:r>
      <w:r>
        <w:rPr>
          <w:rFonts w:hint="eastAsia"/>
          <w:i w:val="0"/>
          <w:iCs w:val="0"/>
        </w:rPr>
        <w:t xml:space="preserve"> </w:t>
      </w:r>
      <w:r>
        <w:rPr>
          <w:i w:val="0"/>
          <w:iCs w:val="0"/>
        </w:rPr>
        <w:t>packets</w:t>
      </w:r>
      <w:r>
        <w:rPr>
          <w:rFonts w:hint="eastAsia"/>
          <w:i w:val="0"/>
          <w:iCs w:val="0"/>
        </w:rPr>
        <w:t xml:space="preserve"> arrive </w:t>
      </w:r>
      <w:r>
        <w:rPr>
          <w:i w:val="0"/>
          <w:iCs w:val="0"/>
        </w:rPr>
        <w:t>outside onDurationTimer frequently.</w:t>
      </w:r>
      <w:r>
        <w:rPr>
          <w:i w:val="0"/>
          <w:iCs w:val="0"/>
        </w:rPr>
        <w:fldChar w:fldCharType="end"/>
      </w:r>
    </w:p>
    <w:p>
      <w:pPr>
        <w:pStyle w:val="21"/>
        <w:tabs>
          <w:tab w:val="right" w:leader="dot" w:pos="9660"/>
          <w:tab w:val="clear" w:pos="0"/>
        </w:tabs>
        <w:spacing w:before="120" w:after="120"/>
        <w:jc w:val="both"/>
      </w:pPr>
      <w:r>
        <w:fldChar w:fldCharType="begin"/>
      </w:r>
      <w:r>
        <w:instrText xml:space="preserve"> HYPERLINK \l "_Toc18613" </w:instrText>
      </w:r>
      <w:r>
        <w:fldChar w:fldCharType="separate"/>
      </w:r>
      <w:r>
        <w:rPr>
          <w:rFonts w:eastAsia="宋体"/>
          <w:i w:val="0"/>
          <w:iCs w:val="0"/>
          <w:szCs w:val="21"/>
        </w:rPr>
        <w:t xml:space="preserve">Observation 2: </w:t>
      </w:r>
      <w:r>
        <w:rPr>
          <w:rFonts w:hint="eastAsia"/>
          <w:i w:val="0"/>
          <w:iCs w:val="0"/>
        </w:rPr>
        <w:t xml:space="preserve">Dynamic change </w:t>
      </w:r>
      <w:r>
        <w:rPr>
          <w:i w:val="0"/>
          <w:iCs w:val="0"/>
        </w:rPr>
        <w:t>of</w:t>
      </w:r>
      <w:r>
        <w:rPr>
          <w:rFonts w:hint="eastAsia"/>
          <w:i w:val="0"/>
          <w:iCs w:val="0"/>
        </w:rPr>
        <w:t xml:space="preserve"> CDRX configuration will provide additional signaling overhead and may cause more power consumption on PDCCH monitoring.</w:t>
      </w:r>
      <w:r>
        <w:rPr>
          <w:rFonts w:hint="eastAsia"/>
          <w:i w:val="0"/>
          <w:iCs w:val="0"/>
        </w:rPr>
        <w:fldChar w:fldCharType="end"/>
      </w:r>
    </w:p>
    <w:p>
      <w:pPr>
        <w:pStyle w:val="21"/>
        <w:tabs>
          <w:tab w:val="right" w:leader="dot" w:pos="9660"/>
          <w:tab w:val="clear" w:pos="0"/>
        </w:tabs>
        <w:spacing w:before="120" w:after="120"/>
        <w:jc w:val="both"/>
      </w:pPr>
      <w:r>
        <w:fldChar w:fldCharType="begin"/>
      </w:r>
      <w:r>
        <w:instrText xml:space="preserve"> HYPERLINK \l "_Toc17155" </w:instrText>
      </w:r>
      <w:r>
        <w:fldChar w:fldCharType="separate"/>
      </w:r>
      <w:r>
        <w:rPr>
          <w:rFonts w:eastAsia="宋体"/>
          <w:i w:val="0"/>
          <w:iCs w:val="0"/>
          <w:szCs w:val="21"/>
        </w:rPr>
        <w:t xml:space="preserve">Observation 3: </w:t>
      </w:r>
      <w:r>
        <w:rPr>
          <w:rFonts w:hint="eastAsia"/>
          <w:i w:val="0"/>
          <w:iCs w:val="0"/>
        </w:rPr>
        <w:t>The performance would decrease when the delay caused by jitter exceeded a threshold.</w:t>
      </w:r>
      <w:r>
        <w:rPr>
          <w:rFonts w:hint="eastAsia"/>
          <w:i w:val="0"/>
          <w:iCs w:val="0"/>
        </w:rPr>
        <w:fldChar w:fldCharType="end"/>
      </w:r>
    </w:p>
    <w:p>
      <w:pPr>
        <w:pStyle w:val="21"/>
        <w:tabs>
          <w:tab w:val="right" w:leader="dot" w:pos="9660"/>
          <w:tab w:val="clear" w:pos="0"/>
        </w:tabs>
        <w:spacing w:before="120" w:after="120"/>
        <w:jc w:val="both"/>
      </w:pPr>
      <w:r>
        <w:fldChar w:fldCharType="begin"/>
      </w:r>
      <w:r>
        <w:instrText xml:space="preserve"> HYPERLINK \l "_Toc8938" </w:instrText>
      </w:r>
      <w:r>
        <w:fldChar w:fldCharType="separate"/>
      </w:r>
      <w:r>
        <w:rPr>
          <w:rFonts w:eastAsia="宋体"/>
          <w:i w:val="0"/>
          <w:iCs w:val="0"/>
          <w:szCs w:val="21"/>
        </w:rPr>
        <w:t xml:space="preserve">Observation 4: </w:t>
      </w:r>
      <w:r>
        <w:rPr>
          <w:i w:val="0"/>
          <w:iCs w:val="0"/>
        </w:rPr>
        <w:t xml:space="preserve">In FR1, DL only, </w:t>
      </w:r>
      <w:r>
        <w:rPr>
          <w:rFonts w:hint="eastAsia"/>
          <w:i w:val="0"/>
          <w:iCs w:val="0"/>
        </w:rPr>
        <w:t>InH</w:t>
      </w:r>
      <w:r>
        <w:rPr>
          <w:i w:val="0"/>
          <w:iCs w:val="0"/>
        </w:rPr>
        <w:t>, high load, VR</w:t>
      </w:r>
      <w:r>
        <w:rPr>
          <w:rFonts w:hint="eastAsia"/>
          <w:i w:val="0"/>
          <w:iCs w:val="0"/>
        </w:rPr>
        <w:t>30</w:t>
      </w:r>
      <w:r>
        <w:rPr>
          <w:i w:val="0"/>
          <w:iCs w:val="0"/>
        </w:rPr>
        <w:t>,</w:t>
      </w:r>
      <w:r>
        <w:rPr>
          <w:rFonts w:hint="eastAsia"/>
          <w:i w:val="0"/>
          <w:iCs w:val="0"/>
        </w:rPr>
        <w:t xml:space="preserve"> c</w:t>
      </w:r>
      <w:r>
        <w:rPr>
          <w:i w:val="0"/>
          <w:iCs w:val="0"/>
        </w:rPr>
        <w:t>omparing to the scheme(UE always on), following is observed:</w:t>
      </w:r>
      <w:r>
        <w:rPr>
          <w:i w:val="0"/>
          <w:iCs w:val="0"/>
        </w:rPr>
        <w:fldChar w:fldCharType="end"/>
      </w:r>
    </w:p>
    <w:p>
      <w:pPr>
        <w:pStyle w:val="21"/>
        <w:tabs>
          <w:tab w:val="right" w:leader="dot" w:pos="9660"/>
          <w:tab w:val="clear" w:pos="0"/>
        </w:tabs>
        <w:spacing w:before="120" w:after="120"/>
        <w:ind w:firstLine="201" w:firstLineChars="100"/>
        <w:jc w:val="both"/>
      </w:pPr>
      <w:r>
        <w:fldChar w:fldCharType="begin"/>
      </w:r>
      <w:r>
        <w:instrText xml:space="preserve"> HYPERLINK \l "_Toc12209" </w:instrText>
      </w:r>
      <w:r>
        <w:fldChar w:fldCharType="separate"/>
      </w:r>
      <w:r>
        <w:rPr>
          <w:rFonts w:hint="eastAsia"/>
          <w:i w:val="0"/>
          <w:iCs w:val="0"/>
        </w:rPr>
        <w:t>- f</w:t>
      </w:r>
      <w:r>
        <w:rPr>
          <w:i w:val="0"/>
          <w:iCs w:val="0"/>
        </w:rPr>
        <w:t xml:space="preserve">or </w:t>
      </w:r>
      <w:r>
        <w:rPr>
          <w:rFonts w:hint="eastAsia"/>
          <w:i w:val="0"/>
          <w:iCs w:val="0"/>
        </w:rPr>
        <w:t>R15 CDRX</w:t>
      </w:r>
      <w:r>
        <w:rPr>
          <w:i w:val="0"/>
          <w:iCs w:val="0"/>
        </w:rPr>
        <w:t xml:space="preserve"> power saving scheme, the</w:t>
      </w:r>
      <w:r>
        <w:rPr>
          <w:rFonts w:hint="eastAsia"/>
          <w:i w:val="0"/>
          <w:iCs w:val="0"/>
        </w:rPr>
        <w:t xml:space="preserve"> </w:t>
      </w:r>
      <w:r>
        <w:rPr>
          <w:i w:val="0"/>
          <w:iCs w:val="0"/>
        </w:rPr>
        <w:t>power saving gain is in the range of {</w:t>
      </w:r>
      <w:r>
        <w:rPr>
          <w:rFonts w:hint="eastAsia"/>
          <w:i w:val="0"/>
          <w:iCs w:val="0"/>
        </w:rPr>
        <w:t>6.2</w:t>
      </w:r>
      <w:r>
        <w:rPr>
          <w:i w:val="0"/>
          <w:iCs w:val="0"/>
        </w:rPr>
        <w:t>%</w:t>
      </w:r>
      <w:r>
        <w:rPr>
          <w:rFonts w:hint="eastAsia"/>
          <w:i w:val="0"/>
          <w:iCs w:val="0"/>
        </w:rPr>
        <w:t>,7.1%</w:t>
      </w:r>
      <w:r>
        <w:rPr>
          <w:i w:val="0"/>
          <w:iCs w:val="0"/>
        </w:rPr>
        <w:t>} with</w:t>
      </w:r>
      <w:r>
        <w:rPr>
          <w:rFonts w:hint="eastAsia"/>
          <w:i w:val="0"/>
          <w:iCs w:val="0"/>
        </w:rPr>
        <w:t xml:space="preserve"> 3.03%</w:t>
      </w:r>
      <w:r>
        <w:rPr>
          <w:i w:val="0"/>
          <w:iCs w:val="0"/>
        </w:rPr>
        <w:t xml:space="preserve"> of satisfied UE loss.</w:t>
      </w:r>
      <w:r>
        <w:rPr>
          <w:i w:val="0"/>
          <w:iCs w:val="0"/>
        </w:rPr>
        <w:fldChar w:fldCharType="end"/>
      </w:r>
    </w:p>
    <w:p>
      <w:pPr>
        <w:pStyle w:val="21"/>
        <w:tabs>
          <w:tab w:val="right" w:leader="dot" w:pos="9660"/>
          <w:tab w:val="clear" w:pos="0"/>
        </w:tabs>
        <w:spacing w:before="120" w:after="120"/>
        <w:ind w:firstLine="201" w:firstLineChars="100"/>
        <w:jc w:val="both"/>
      </w:pPr>
      <w:r>
        <w:fldChar w:fldCharType="begin"/>
      </w:r>
      <w:r>
        <w:instrText xml:space="preserve"> HYPERLINK \l "_Toc31002" </w:instrText>
      </w:r>
      <w:r>
        <w:fldChar w:fldCharType="separate"/>
      </w:r>
      <w:r>
        <w:rPr>
          <w:rFonts w:hint="eastAsia"/>
          <w:i w:val="0"/>
          <w:iCs w:val="0"/>
        </w:rPr>
        <w:t>- f</w:t>
      </w:r>
      <w:r>
        <w:rPr>
          <w:i w:val="0"/>
          <w:iCs w:val="0"/>
        </w:rPr>
        <w:t>or CDRX alignment power saving scheme, the</w:t>
      </w:r>
      <w:r>
        <w:rPr>
          <w:rFonts w:hint="eastAsia"/>
          <w:i w:val="0"/>
          <w:iCs w:val="0"/>
        </w:rPr>
        <w:t xml:space="preserve"> </w:t>
      </w:r>
      <w:r>
        <w:rPr>
          <w:i w:val="0"/>
          <w:iCs w:val="0"/>
        </w:rPr>
        <w:t>power saving gain is in the range of {</w:t>
      </w:r>
      <w:r>
        <w:rPr>
          <w:rFonts w:hint="eastAsia"/>
          <w:i w:val="0"/>
          <w:iCs w:val="0"/>
        </w:rPr>
        <w:t>33.8%-35.4%</w:t>
      </w:r>
      <w:r>
        <w:rPr>
          <w:i w:val="0"/>
          <w:iCs w:val="0"/>
        </w:rPr>
        <w:t>} with</w:t>
      </w:r>
      <w:r>
        <w:rPr>
          <w:rFonts w:hint="eastAsia"/>
          <w:i w:val="0"/>
          <w:iCs w:val="0"/>
        </w:rPr>
        <w:t xml:space="preserve"> 3.03%</w:t>
      </w:r>
      <w:r>
        <w:rPr>
          <w:i w:val="0"/>
          <w:iCs w:val="0"/>
        </w:rPr>
        <w:t xml:space="preserve"> of satisfied UE loss.</w:t>
      </w:r>
      <w:r>
        <w:rPr>
          <w:i w:val="0"/>
          <w:iCs w:val="0"/>
        </w:rPr>
        <w:fldChar w:fldCharType="end"/>
      </w:r>
    </w:p>
    <w:p>
      <w:pPr>
        <w:pStyle w:val="21"/>
        <w:tabs>
          <w:tab w:val="right" w:leader="dot" w:pos="9660"/>
          <w:tab w:val="clear" w:pos="0"/>
        </w:tabs>
        <w:spacing w:before="120" w:after="120"/>
        <w:ind w:firstLine="201" w:firstLineChars="100"/>
        <w:jc w:val="both"/>
      </w:pPr>
      <w:r>
        <w:fldChar w:fldCharType="begin"/>
      </w:r>
      <w:r>
        <w:instrText xml:space="preserve"> HYPERLINK \l "_Toc11798" </w:instrText>
      </w:r>
      <w:r>
        <w:fldChar w:fldCharType="separate"/>
      </w:r>
      <w:r>
        <w:rPr>
          <w:rFonts w:hint="eastAsia"/>
          <w:i w:val="0"/>
          <w:iCs w:val="0"/>
        </w:rPr>
        <w:t>- f</w:t>
      </w:r>
      <w:r>
        <w:rPr>
          <w:i w:val="0"/>
          <w:iCs w:val="0"/>
        </w:rPr>
        <w:t>or eCDRX with flexible additional PDCCH monitoring, the power saving gain is in the range of {</w:t>
      </w:r>
      <w:r>
        <w:rPr>
          <w:rFonts w:hint="eastAsia"/>
          <w:i w:val="0"/>
          <w:iCs w:val="0"/>
        </w:rPr>
        <w:t>29.8</w:t>
      </w:r>
      <w:r>
        <w:rPr>
          <w:i w:val="0"/>
          <w:iCs w:val="0"/>
        </w:rPr>
        <w:t>%</w:t>
      </w:r>
      <w:r>
        <w:rPr>
          <w:rFonts w:hint="eastAsia"/>
          <w:i w:val="0"/>
          <w:iCs w:val="0"/>
        </w:rPr>
        <w:t>,31.78%</w:t>
      </w:r>
      <w:r>
        <w:rPr>
          <w:i w:val="0"/>
          <w:iCs w:val="0"/>
        </w:rPr>
        <w:t>} with</w:t>
      </w:r>
      <w:r>
        <w:rPr>
          <w:rFonts w:hint="eastAsia"/>
          <w:i w:val="0"/>
          <w:iCs w:val="0"/>
        </w:rPr>
        <w:t xml:space="preserve"> 1.51%</w:t>
      </w:r>
      <w:r>
        <w:rPr>
          <w:i w:val="0"/>
          <w:iCs w:val="0"/>
        </w:rPr>
        <w:t xml:space="preserve"> of satisfied UE loss.</w:t>
      </w:r>
      <w:r>
        <w:rPr>
          <w:i w:val="0"/>
          <w:iCs w:val="0"/>
        </w:rPr>
        <w:fldChar w:fldCharType="end"/>
      </w:r>
    </w:p>
    <w:p>
      <w:pPr>
        <w:pStyle w:val="21"/>
        <w:tabs>
          <w:tab w:val="right" w:leader="dot" w:pos="9660"/>
          <w:tab w:val="clear" w:pos="0"/>
        </w:tabs>
        <w:spacing w:before="120" w:after="120"/>
        <w:jc w:val="both"/>
      </w:pPr>
      <w:r>
        <w:fldChar w:fldCharType="begin"/>
      </w:r>
      <w:r>
        <w:instrText xml:space="preserve"> HYPERLINK \l "_Toc31273" </w:instrText>
      </w:r>
      <w:r>
        <w:fldChar w:fldCharType="separate"/>
      </w:r>
      <w:r>
        <w:rPr>
          <w:rFonts w:eastAsia="宋体"/>
          <w:i w:val="0"/>
          <w:iCs w:val="0"/>
          <w:szCs w:val="21"/>
        </w:rPr>
        <w:t xml:space="preserve">Observation 5: </w:t>
      </w:r>
      <w:r>
        <w:rPr>
          <w:i w:val="0"/>
          <w:iCs w:val="0"/>
        </w:rPr>
        <w:t xml:space="preserve">In FR1, DL only, </w:t>
      </w:r>
      <w:r>
        <w:rPr>
          <w:rFonts w:hint="eastAsia"/>
          <w:i w:val="0"/>
          <w:iCs w:val="0"/>
        </w:rPr>
        <w:t>InH</w:t>
      </w:r>
      <w:r>
        <w:rPr>
          <w:i w:val="0"/>
          <w:iCs w:val="0"/>
        </w:rPr>
        <w:t xml:space="preserve">, high load, </w:t>
      </w:r>
      <w:r>
        <w:rPr>
          <w:rFonts w:hint="eastAsia"/>
          <w:i w:val="0"/>
          <w:iCs w:val="0"/>
        </w:rPr>
        <w:t>CG30</w:t>
      </w:r>
      <w:r>
        <w:rPr>
          <w:i w:val="0"/>
          <w:iCs w:val="0"/>
        </w:rPr>
        <w:t>,</w:t>
      </w:r>
      <w:r>
        <w:rPr>
          <w:rFonts w:hint="eastAsia"/>
          <w:i w:val="0"/>
          <w:iCs w:val="0"/>
        </w:rPr>
        <w:t xml:space="preserve"> c</w:t>
      </w:r>
      <w:r>
        <w:rPr>
          <w:i w:val="0"/>
          <w:iCs w:val="0"/>
        </w:rPr>
        <w:t>omparing to the scheme(UE always on), following is observed:</w:t>
      </w:r>
      <w:r>
        <w:rPr>
          <w:i w:val="0"/>
          <w:iCs w:val="0"/>
        </w:rPr>
        <w:fldChar w:fldCharType="end"/>
      </w:r>
    </w:p>
    <w:p>
      <w:pPr>
        <w:pStyle w:val="21"/>
        <w:tabs>
          <w:tab w:val="right" w:leader="dot" w:pos="9660"/>
          <w:tab w:val="clear" w:pos="0"/>
        </w:tabs>
        <w:spacing w:before="120" w:after="120"/>
        <w:ind w:firstLine="201" w:firstLineChars="100"/>
        <w:jc w:val="both"/>
      </w:pPr>
      <w:r>
        <w:fldChar w:fldCharType="begin"/>
      </w:r>
      <w:r>
        <w:instrText xml:space="preserve"> HYPERLINK \l "_Toc14535" </w:instrText>
      </w:r>
      <w:r>
        <w:fldChar w:fldCharType="separate"/>
      </w:r>
      <w:r>
        <w:rPr>
          <w:rFonts w:hint="eastAsia"/>
          <w:i w:val="0"/>
          <w:iCs w:val="0"/>
        </w:rPr>
        <w:t>- f</w:t>
      </w:r>
      <w:r>
        <w:rPr>
          <w:i w:val="0"/>
          <w:iCs w:val="0"/>
        </w:rPr>
        <w:t xml:space="preserve">or </w:t>
      </w:r>
      <w:r>
        <w:rPr>
          <w:rFonts w:hint="eastAsia"/>
          <w:i w:val="0"/>
          <w:iCs w:val="0"/>
        </w:rPr>
        <w:t xml:space="preserve">R15 CDRX </w:t>
      </w:r>
      <w:r>
        <w:rPr>
          <w:i w:val="0"/>
          <w:iCs w:val="0"/>
        </w:rPr>
        <w:t>power saving scheme, the power saving gain is in the range of {</w:t>
      </w:r>
      <w:r>
        <w:rPr>
          <w:rFonts w:hint="eastAsia"/>
          <w:i w:val="0"/>
          <w:iCs w:val="0"/>
        </w:rPr>
        <w:t>4.2</w:t>
      </w:r>
      <w:r>
        <w:rPr>
          <w:i w:val="0"/>
          <w:iCs w:val="0"/>
        </w:rPr>
        <w:t>%</w:t>
      </w:r>
      <w:r>
        <w:rPr>
          <w:rFonts w:hint="eastAsia"/>
          <w:i w:val="0"/>
          <w:iCs w:val="0"/>
        </w:rPr>
        <w:t>,6.1%</w:t>
      </w:r>
      <w:r>
        <w:rPr>
          <w:i w:val="0"/>
          <w:iCs w:val="0"/>
        </w:rPr>
        <w:t>} with</w:t>
      </w:r>
      <w:r>
        <w:rPr>
          <w:rFonts w:hint="eastAsia"/>
          <w:i w:val="0"/>
          <w:iCs w:val="0"/>
        </w:rPr>
        <w:t xml:space="preserve"> 7.64% </w:t>
      </w:r>
      <w:r>
        <w:rPr>
          <w:i w:val="0"/>
          <w:iCs w:val="0"/>
        </w:rPr>
        <w:t>of satisfied UE loss.</w:t>
      </w:r>
      <w:r>
        <w:rPr>
          <w:i w:val="0"/>
          <w:iCs w:val="0"/>
        </w:rPr>
        <w:fldChar w:fldCharType="end"/>
      </w:r>
    </w:p>
    <w:p>
      <w:pPr>
        <w:pStyle w:val="21"/>
        <w:tabs>
          <w:tab w:val="right" w:leader="dot" w:pos="9660"/>
          <w:tab w:val="clear" w:pos="0"/>
        </w:tabs>
        <w:spacing w:before="120" w:after="120"/>
        <w:ind w:firstLine="201" w:firstLineChars="100"/>
        <w:jc w:val="both"/>
      </w:pPr>
      <w:r>
        <w:fldChar w:fldCharType="begin"/>
      </w:r>
      <w:r>
        <w:instrText xml:space="preserve"> HYPERLINK \l "_Toc10393" </w:instrText>
      </w:r>
      <w:r>
        <w:fldChar w:fldCharType="separate"/>
      </w:r>
      <w:r>
        <w:rPr>
          <w:rFonts w:hint="eastAsia"/>
          <w:i w:val="0"/>
          <w:iCs w:val="0"/>
        </w:rPr>
        <w:t>- f</w:t>
      </w:r>
      <w:r>
        <w:rPr>
          <w:i w:val="0"/>
          <w:iCs w:val="0"/>
        </w:rPr>
        <w:t>or CDRX alignment power saving scheme, the power saving gain is in the range of {</w:t>
      </w:r>
      <w:r>
        <w:rPr>
          <w:rFonts w:hint="eastAsia"/>
          <w:i w:val="0"/>
          <w:iCs w:val="0"/>
        </w:rPr>
        <w:t>20.6</w:t>
      </w:r>
      <w:r>
        <w:rPr>
          <w:i w:val="0"/>
          <w:iCs w:val="0"/>
        </w:rPr>
        <w:t>%</w:t>
      </w:r>
      <w:r>
        <w:rPr>
          <w:rFonts w:hint="eastAsia"/>
          <w:i w:val="0"/>
          <w:iCs w:val="0"/>
        </w:rPr>
        <w:t>,34.5%</w:t>
      </w:r>
      <w:r>
        <w:rPr>
          <w:i w:val="0"/>
          <w:iCs w:val="0"/>
        </w:rPr>
        <w:t>} with</w:t>
      </w:r>
      <w:r>
        <w:rPr>
          <w:rFonts w:hint="eastAsia"/>
          <w:i w:val="0"/>
          <w:iCs w:val="0"/>
        </w:rPr>
        <w:t xml:space="preserve"> {7.64%-12.56%} </w:t>
      </w:r>
      <w:r>
        <w:rPr>
          <w:i w:val="0"/>
          <w:iCs w:val="0"/>
        </w:rPr>
        <w:t>of satisfied UE loss.</w:t>
      </w:r>
      <w:r>
        <w:rPr>
          <w:i w:val="0"/>
          <w:iCs w:val="0"/>
        </w:rPr>
        <w:fldChar w:fldCharType="end"/>
      </w:r>
    </w:p>
    <w:p>
      <w:pPr>
        <w:pStyle w:val="21"/>
        <w:tabs>
          <w:tab w:val="right" w:leader="dot" w:pos="9660"/>
          <w:tab w:val="clear" w:pos="0"/>
        </w:tabs>
        <w:spacing w:before="120" w:after="120"/>
        <w:ind w:firstLine="201" w:firstLineChars="100"/>
        <w:jc w:val="both"/>
      </w:pPr>
      <w:r>
        <w:fldChar w:fldCharType="begin"/>
      </w:r>
      <w:r>
        <w:instrText xml:space="preserve"> HYPERLINK \l "_Toc22932" </w:instrText>
      </w:r>
      <w:r>
        <w:fldChar w:fldCharType="separate"/>
      </w:r>
      <w:r>
        <w:rPr>
          <w:rFonts w:hint="eastAsia"/>
          <w:i w:val="0"/>
          <w:iCs w:val="0"/>
        </w:rPr>
        <w:t xml:space="preserve">- for </w:t>
      </w:r>
      <w:r>
        <w:rPr>
          <w:i w:val="0"/>
          <w:iCs w:val="0"/>
        </w:rPr>
        <w:t>eCDRX with flexible additional PDCCH monitoring</w:t>
      </w:r>
      <w:r>
        <w:rPr>
          <w:rFonts w:hint="eastAsia"/>
          <w:i w:val="0"/>
          <w:iCs w:val="0"/>
        </w:rPr>
        <w:t>, the power saving gain is in the range of {32.4%,34.5%} with 8.34% of satisfied UE loss.</w:t>
      </w:r>
      <w:r>
        <w:rPr>
          <w:rFonts w:hint="eastAsia"/>
          <w:i w:val="0"/>
          <w:iCs w:val="0"/>
        </w:rPr>
        <w:fldChar w:fldCharType="end"/>
      </w:r>
    </w:p>
    <w:p>
      <w:pPr>
        <w:pStyle w:val="21"/>
        <w:tabs>
          <w:tab w:val="right" w:leader="dot" w:pos="9660"/>
          <w:tab w:val="clear" w:pos="0"/>
        </w:tabs>
        <w:spacing w:before="120" w:after="120"/>
        <w:jc w:val="both"/>
      </w:pPr>
      <w:r>
        <w:fldChar w:fldCharType="begin"/>
      </w:r>
      <w:r>
        <w:instrText xml:space="preserve"> HYPERLINK \l "_Toc31486" </w:instrText>
      </w:r>
      <w:r>
        <w:fldChar w:fldCharType="separate"/>
      </w:r>
      <w:r>
        <w:rPr>
          <w:rFonts w:eastAsia="宋体"/>
          <w:i w:val="0"/>
          <w:iCs w:val="0"/>
          <w:szCs w:val="21"/>
        </w:rPr>
        <w:t xml:space="preserve">Observation 6: </w:t>
      </w:r>
      <w:r>
        <w:rPr>
          <w:i w:val="0"/>
          <w:iCs w:val="0"/>
        </w:rPr>
        <w:t xml:space="preserve">In FR1, DL only, </w:t>
      </w:r>
      <w:r>
        <w:rPr>
          <w:rFonts w:hint="eastAsia"/>
          <w:i w:val="0"/>
          <w:iCs w:val="0"/>
        </w:rPr>
        <w:t>InH</w:t>
      </w:r>
      <w:r>
        <w:rPr>
          <w:i w:val="0"/>
          <w:iCs w:val="0"/>
        </w:rPr>
        <w:t>, high load, VR</w:t>
      </w:r>
      <w:r>
        <w:rPr>
          <w:rFonts w:hint="eastAsia"/>
          <w:i w:val="0"/>
          <w:iCs w:val="0"/>
        </w:rPr>
        <w:t>45</w:t>
      </w:r>
      <w:r>
        <w:rPr>
          <w:i w:val="0"/>
          <w:iCs w:val="0"/>
        </w:rPr>
        <w:t>,</w:t>
      </w:r>
      <w:r>
        <w:rPr>
          <w:rFonts w:hint="eastAsia"/>
          <w:i w:val="0"/>
          <w:iCs w:val="0"/>
        </w:rPr>
        <w:t xml:space="preserve"> c</w:t>
      </w:r>
      <w:r>
        <w:rPr>
          <w:i w:val="0"/>
          <w:iCs w:val="0"/>
        </w:rPr>
        <w:t>omparing to the scheme(UE always on), following is observed:</w:t>
      </w:r>
      <w:r>
        <w:rPr>
          <w:i w:val="0"/>
          <w:iCs w:val="0"/>
        </w:rPr>
        <w:fldChar w:fldCharType="end"/>
      </w:r>
    </w:p>
    <w:p>
      <w:pPr>
        <w:pStyle w:val="21"/>
        <w:tabs>
          <w:tab w:val="right" w:leader="dot" w:pos="9660"/>
          <w:tab w:val="clear" w:pos="0"/>
        </w:tabs>
        <w:spacing w:before="120" w:after="120"/>
        <w:ind w:firstLine="201" w:firstLineChars="100"/>
        <w:jc w:val="both"/>
      </w:pPr>
      <w:r>
        <w:fldChar w:fldCharType="begin"/>
      </w:r>
      <w:r>
        <w:instrText xml:space="preserve"> HYPERLINK \l "_Toc6303" </w:instrText>
      </w:r>
      <w:r>
        <w:fldChar w:fldCharType="separate"/>
      </w:r>
      <w:r>
        <w:rPr>
          <w:rFonts w:hint="eastAsia"/>
          <w:i w:val="0"/>
          <w:iCs w:val="0"/>
        </w:rPr>
        <w:t>- f</w:t>
      </w:r>
      <w:r>
        <w:rPr>
          <w:i w:val="0"/>
          <w:iCs w:val="0"/>
        </w:rPr>
        <w:t xml:space="preserve">or </w:t>
      </w:r>
      <w:r>
        <w:rPr>
          <w:rFonts w:hint="eastAsia"/>
          <w:i w:val="0"/>
          <w:iCs w:val="0"/>
        </w:rPr>
        <w:t xml:space="preserve">R15 CDRX </w:t>
      </w:r>
      <w:r>
        <w:rPr>
          <w:i w:val="0"/>
          <w:iCs w:val="0"/>
        </w:rPr>
        <w:t>power saving scheme, the</w:t>
      </w:r>
      <w:r>
        <w:rPr>
          <w:rFonts w:hint="eastAsia"/>
          <w:i w:val="0"/>
          <w:iCs w:val="0"/>
        </w:rPr>
        <w:t xml:space="preserve"> </w:t>
      </w:r>
      <w:r>
        <w:rPr>
          <w:i w:val="0"/>
          <w:iCs w:val="0"/>
        </w:rPr>
        <w:t>power saving gain is in the range of {</w:t>
      </w:r>
      <w:r>
        <w:rPr>
          <w:rFonts w:hint="eastAsia"/>
          <w:i w:val="0"/>
          <w:iCs w:val="0"/>
        </w:rPr>
        <w:t>7.4</w:t>
      </w:r>
      <w:r>
        <w:rPr>
          <w:i w:val="0"/>
          <w:iCs w:val="0"/>
        </w:rPr>
        <w:t>%</w:t>
      </w:r>
      <w:r>
        <w:rPr>
          <w:rFonts w:hint="eastAsia"/>
          <w:i w:val="0"/>
          <w:iCs w:val="0"/>
        </w:rPr>
        <w:t>,8.1%</w:t>
      </w:r>
      <w:r>
        <w:rPr>
          <w:i w:val="0"/>
          <w:iCs w:val="0"/>
        </w:rPr>
        <w:t>} with</w:t>
      </w:r>
      <w:r>
        <w:rPr>
          <w:rFonts w:hint="eastAsia"/>
          <w:i w:val="0"/>
          <w:iCs w:val="0"/>
        </w:rPr>
        <w:t xml:space="preserve"> 4% </w:t>
      </w:r>
      <w:r>
        <w:rPr>
          <w:i w:val="0"/>
          <w:iCs w:val="0"/>
        </w:rPr>
        <w:t>of satisfied UE loss.</w:t>
      </w:r>
      <w:r>
        <w:rPr>
          <w:i w:val="0"/>
          <w:iCs w:val="0"/>
        </w:rPr>
        <w:fldChar w:fldCharType="end"/>
      </w:r>
    </w:p>
    <w:p>
      <w:pPr>
        <w:pStyle w:val="21"/>
        <w:tabs>
          <w:tab w:val="right" w:leader="dot" w:pos="9660"/>
          <w:tab w:val="clear" w:pos="0"/>
        </w:tabs>
        <w:spacing w:before="120" w:after="120"/>
        <w:ind w:firstLine="201" w:firstLineChars="100"/>
        <w:jc w:val="both"/>
      </w:pPr>
      <w:r>
        <w:fldChar w:fldCharType="begin"/>
      </w:r>
      <w:r>
        <w:instrText xml:space="preserve"> HYPERLINK \l "_Toc3320" </w:instrText>
      </w:r>
      <w:r>
        <w:fldChar w:fldCharType="separate"/>
      </w:r>
      <w:r>
        <w:rPr>
          <w:rFonts w:hint="eastAsia"/>
          <w:i w:val="0"/>
          <w:iCs w:val="0"/>
        </w:rPr>
        <w:t>- f</w:t>
      </w:r>
      <w:r>
        <w:rPr>
          <w:i w:val="0"/>
          <w:iCs w:val="0"/>
        </w:rPr>
        <w:t>or CDRX alignment power saving scheme, the</w:t>
      </w:r>
      <w:r>
        <w:rPr>
          <w:rFonts w:hint="eastAsia"/>
          <w:i w:val="0"/>
          <w:iCs w:val="0"/>
        </w:rPr>
        <w:t xml:space="preserve"> </w:t>
      </w:r>
      <w:r>
        <w:rPr>
          <w:i w:val="0"/>
          <w:iCs w:val="0"/>
        </w:rPr>
        <w:t>power saving gain is in the range of {</w:t>
      </w:r>
      <w:r>
        <w:rPr>
          <w:rFonts w:hint="eastAsia"/>
          <w:i w:val="0"/>
          <w:iCs w:val="0"/>
        </w:rPr>
        <w:t>22.4%-23.5%</w:t>
      </w:r>
      <w:r>
        <w:rPr>
          <w:i w:val="0"/>
          <w:iCs w:val="0"/>
        </w:rPr>
        <w:t>} with</w:t>
      </w:r>
      <w:r>
        <w:rPr>
          <w:rFonts w:hint="eastAsia"/>
          <w:i w:val="0"/>
          <w:iCs w:val="0"/>
        </w:rPr>
        <w:t xml:space="preserve"> 2% </w:t>
      </w:r>
      <w:r>
        <w:rPr>
          <w:i w:val="0"/>
          <w:iCs w:val="0"/>
        </w:rPr>
        <w:t>of satisfied UE loss.</w:t>
      </w:r>
      <w:r>
        <w:rPr>
          <w:i w:val="0"/>
          <w:iCs w:val="0"/>
        </w:rPr>
        <w:fldChar w:fldCharType="end"/>
      </w:r>
    </w:p>
    <w:p>
      <w:pPr>
        <w:pStyle w:val="21"/>
        <w:tabs>
          <w:tab w:val="right" w:leader="dot" w:pos="9660"/>
          <w:tab w:val="clear" w:pos="0"/>
        </w:tabs>
        <w:spacing w:before="120" w:after="120"/>
        <w:jc w:val="both"/>
      </w:pPr>
      <w:r>
        <w:fldChar w:fldCharType="begin"/>
      </w:r>
      <w:r>
        <w:instrText xml:space="preserve"> HYPERLINK \l "_Toc16773" </w:instrText>
      </w:r>
      <w:r>
        <w:fldChar w:fldCharType="separate"/>
      </w:r>
      <w:r>
        <w:rPr>
          <w:rFonts w:eastAsia="宋体"/>
          <w:i w:val="0"/>
          <w:iCs w:val="0"/>
          <w:szCs w:val="21"/>
        </w:rPr>
        <w:t xml:space="preserve">Observation 7: </w:t>
      </w:r>
      <w:r>
        <w:rPr>
          <w:rFonts w:hint="eastAsia"/>
          <w:i w:val="0"/>
          <w:iCs w:val="0"/>
        </w:rPr>
        <w:t xml:space="preserve">For </w:t>
      </w:r>
      <w:r>
        <w:rPr>
          <w:i w:val="0"/>
          <w:iCs w:val="0"/>
        </w:rPr>
        <w:t xml:space="preserve">CDRX alignment power saving scheme, </w:t>
      </w:r>
      <w:r>
        <w:rPr>
          <w:rFonts w:hint="eastAsia"/>
          <w:i w:val="0"/>
          <w:iCs w:val="0"/>
        </w:rPr>
        <w:t>a larger drx-onDurationTimer value will lead to a larger capacity, while the power saving gain will be decreased.</w:t>
      </w:r>
      <w:r>
        <w:rPr>
          <w:rFonts w:hint="eastAsia"/>
          <w:i w:val="0"/>
          <w:iCs w:val="0"/>
        </w:rPr>
        <w:fldChar w:fldCharType="end"/>
      </w:r>
    </w:p>
    <w:p>
      <w:pPr>
        <w:pStyle w:val="21"/>
        <w:tabs>
          <w:tab w:val="right" w:leader="dot" w:pos="9660"/>
          <w:tab w:val="clear" w:pos="0"/>
        </w:tabs>
        <w:spacing w:before="120" w:after="120"/>
        <w:jc w:val="both"/>
      </w:pPr>
      <w:r>
        <w:fldChar w:fldCharType="begin"/>
      </w:r>
      <w:r>
        <w:instrText xml:space="preserve"> HYPERLINK \l "_Toc25392" </w:instrText>
      </w:r>
      <w:r>
        <w:fldChar w:fldCharType="separate"/>
      </w:r>
      <w:r>
        <w:rPr>
          <w:rFonts w:eastAsia="宋体"/>
          <w:i w:val="0"/>
          <w:iCs w:val="0"/>
          <w:szCs w:val="21"/>
        </w:rPr>
        <w:t xml:space="preserve">Observation 8: </w:t>
      </w:r>
      <w:r>
        <w:rPr>
          <w:rFonts w:hint="eastAsia"/>
          <w:i w:val="0"/>
          <w:iCs w:val="0"/>
        </w:rPr>
        <w:t xml:space="preserve">Compared with </w:t>
      </w:r>
      <w:r>
        <w:rPr>
          <w:i w:val="0"/>
          <w:iCs w:val="0"/>
        </w:rPr>
        <w:t xml:space="preserve">CDRX alignment power saving scheme, eCDRX with flexible additional PDCCH monitoring </w:t>
      </w:r>
      <w:r>
        <w:rPr>
          <w:rFonts w:hint="eastAsia"/>
          <w:i w:val="0"/>
          <w:iCs w:val="0"/>
        </w:rPr>
        <w:t>power saving scheme can provide larger capacity under similar power saving gain.</w:t>
      </w:r>
      <w:r>
        <w:rPr>
          <w:rFonts w:hint="eastAsia"/>
          <w:i w:val="0"/>
          <w:iCs w:val="0"/>
        </w:rPr>
        <w:fldChar w:fldCharType="end"/>
      </w:r>
    </w:p>
    <w:p>
      <w:pPr>
        <w:pStyle w:val="21"/>
        <w:tabs>
          <w:tab w:val="right" w:leader="dot" w:pos="9660"/>
          <w:tab w:val="clear" w:pos="0"/>
        </w:tabs>
        <w:spacing w:before="120" w:after="120"/>
        <w:jc w:val="both"/>
      </w:pPr>
      <w:r>
        <w:fldChar w:fldCharType="begin"/>
      </w:r>
      <w:r>
        <w:instrText xml:space="preserve"> HYPERLINK \l "_Toc8807" </w:instrText>
      </w:r>
      <w:r>
        <w:fldChar w:fldCharType="separate"/>
      </w:r>
      <w:r>
        <w:rPr>
          <w:rFonts w:eastAsia="宋体"/>
          <w:i w:val="0"/>
          <w:iCs w:val="0"/>
          <w:szCs w:val="21"/>
        </w:rPr>
        <w:t xml:space="preserve">Observation 9: </w:t>
      </w:r>
      <w:r>
        <w:rPr>
          <w:i w:val="0"/>
          <w:iCs w:val="0"/>
        </w:rPr>
        <w:t xml:space="preserve">In FR1, DL+UL, </w:t>
      </w:r>
      <w:r>
        <w:rPr>
          <w:rFonts w:hint="eastAsia"/>
          <w:i w:val="0"/>
          <w:iCs w:val="0"/>
        </w:rPr>
        <w:t>InH</w:t>
      </w:r>
      <w:r>
        <w:rPr>
          <w:i w:val="0"/>
          <w:iCs w:val="0"/>
        </w:rPr>
        <w:t>, high load, VR30,</w:t>
      </w:r>
      <w:r>
        <w:rPr>
          <w:rFonts w:hint="eastAsia"/>
          <w:i w:val="0"/>
          <w:iCs w:val="0"/>
        </w:rPr>
        <w:t xml:space="preserve"> c</w:t>
      </w:r>
      <w:r>
        <w:rPr>
          <w:i w:val="0"/>
          <w:iCs w:val="0"/>
        </w:rPr>
        <w:t>comparing to the scheme(UE always on), following is observed:</w:t>
      </w:r>
      <w:r>
        <w:rPr>
          <w:i w:val="0"/>
          <w:iCs w:val="0"/>
        </w:rPr>
        <w:fldChar w:fldCharType="end"/>
      </w:r>
    </w:p>
    <w:p>
      <w:pPr>
        <w:pStyle w:val="21"/>
        <w:tabs>
          <w:tab w:val="right" w:leader="dot" w:pos="9660"/>
          <w:tab w:val="clear" w:pos="0"/>
        </w:tabs>
        <w:spacing w:before="120" w:after="120"/>
        <w:ind w:firstLine="201" w:firstLineChars="100"/>
        <w:jc w:val="both"/>
      </w:pPr>
      <w:r>
        <w:fldChar w:fldCharType="begin"/>
      </w:r>
      <w:r>
        <w:instrText xml:space="preserve"> HYPERLINK \l "_Toc4493" </w:instrText>
      </w:r>
      <w:r>
        <w:fldChar w:fldCharType="separate"/>
      </w:r>
      <w:r>
        <w:rPr>
          <w:rFonts w:hint="eastAsia"/>
          <w:i w:val="0"/>
          <w:iCs w:val="0"/>
        </w:rPr>
        <w:t>- f</w:t>
      </w:r>
      <w:r>
        <w:rPr>
          <w:i w:val="0"/>
          <w:iCs w:val="0"/>
        </w:rPr>
        <w:t xml:space="preserve">or </w:t>
      </w:r>
      <w:r>
        <w:rPr>
          <w:rFonts w:hint="eastAsia"/>
          <w:i w:val="0"/>
          <w:iCs w:val="0"/>
        </w:rPr>
        <w:t>R15 CDRX</w:t>
      </w:r>
      <w:r>
        <w:rPr>
          <w:i w:val="0"/>
          <w:iCs w:val="0"/>
        </w:rPr>
        <w:t xml:space="preserve"> power saving scheme, the power saving gain is in the range of {</w:t>
      </w:r>
      <w:r>
        <w:rPr>
          <w:rFonts w:hint="eastAsia"/>
          <w:i w:val="0"/>
          <w:iCs w:val="0"/>
        </w:rPr>
        <w:t>6</w:t>
      </w:r>
      <w:r>
        <w:rPr>
          <w:i w:val="0"/>
          <w:iCs w:val="0"/>
        </w:rPr>
        <w:t>%</w:t>
      </w:r>
      <w:r>
        <w:rPr>
          <w:rFonts w:hint="eastAsia"/>
          <w:i w:val="0"/>
          <w:iCs w:val="0"/>
        </w:rPr>
        <w:t>,6.65%</w:t>
      </w:r>
      <w:r>
        <w:rPr>
          <w:i w:val="0"/>
          <w:iCs w:val="0"/>
        </w:rPr>
        <w:t>} with</w:t>
      </w:r>
      <w:r>
        <w:rPr>
          <w:rFonts w:hint="eastAsia"/>
          <w:i w:val="0"/>
          <w:iCs w:val="0"/>
        </w:rPr>
        <w:t xml:space="preserve"> 3.03%</w:t>
      </w:r>
      <w:r>
        <w:rPr>
          <w:i w:val="0"/>
          <w:iCs w:val="0"/>
        </w:rPr>
        <w:t xml:space="preserve"> of satisfied UE loss.</w:t>
      </w:r>
      <w:r>
        <w:rPr>
          <w:i w:val="0"/>
          <w:iCs w:val="0"/>
        </w:rPr>
        <w:fldChar w:fldCharType="end"/>
      </w:r>
    </w:p>
    <w:p>
      <w:pPr>
        <w:pStyle w:val="21"/>
        <w:tabs>
          <w:tab w:val="right" w:leader="dot" w:pos="9660"/>
          <w:tab w:val="clear" w:pos="0"/>
        </w:tabs>
        <w:spacing w:before="120" w:after="120"/>
        <w:ind w:firstLine="201" w:firstLineChars="100"/>
        <w:jc w:val="both"/>
      </w:pPr>
      <w:r>
        <w:fldChar w:fldCharType="begin"/>
      </w:r>
      <w:r>
        <w:instrText xml:space="preserve"> HYPERLINK \l "_Toc12655" </w:instrText>
      </w:r>
      <w:r>
        <w:fldChar w:fldCharType="separate"/>
      </w:r>
      <w:r>
        <w:rPr>
          <w:rFonts w:hint="eastAsia"/>
          <w:i w:val="0"/>
          <w:iCs w:val="0"/>
        </w:rPr>
        <w:t>- f</w:t>
      </w:r>
      <w:r>
        <w:rPr>
          <w:i w:val="0"/>
          <w:iCs w:val="0"/>
        </w:rPr>
        <w:t>or CDRX alignment power saving scheme, the</w:t>
      </w:r>
      <w:r>
        <w:rPr>
          <w:rFonts w:hint="eastAsia"/>
          <w:i w:val="0"/>
          <w:iCs w:val="0"/>
        </w:rPr>
        <w:t xml:space="preserve"> </w:t>
      </w:r>
      <w:r>
        <w:rPr>
          <w:i w:val="0"/>
          <w:iCs w:val="0"/>
        </w:rPr>
        <w:t>power saving gain is in the range of {</w:t>
      </w:r>
      <w:r>
        <w:rPr>
          <w:rFonts w:hint="eastAsia"/>
          <w:i w:val="0"/>
          <w:iCs w:val="0"/>
        </w:rPr>
        <w:t>23.2</w:t>
      </w:r>
      <w:r>
        <w:rPr>
          <w:i w:val="0"/>
          <w:iCs w:val="0"/>
        </w:rPr>
        <w:t>%</w:t>
      </w:r>
      <w:r>
        <w:rPr>
          <w:rFonts w:hint="eastAsia"/>
          <w:i w:val="0"/>
          <w:iCs w:val="0"/>
        </w:rPr>
        <w:t>,24.6%</w:t>
      </w:r>
      <w:r>
        <w:rPr>
          <w:i w:val="0"/>
          <w:iCs w:val="0"/>
        </w:rPr>
        <w:t>} with</w:t>
      </w:r>
      <w:r>
        <w:rPr>
          <w:rFonts w:hint="eastAsia"/>
          <w:i w:val="0"/>
          <w:iCs w:val="0"/>
        </w:rPr>
        <w:t xml:space="preserve"> 3.03%</w:t>
      </w:r>
      <w:r>
        <w:rPr>
          <w:i w:val="0"/>
          <w:iCs w:val="0"/>
        </w:rPr>
        <w:t xml:space="preserve"> of satisfied UE loss.</w:t>
      </w:r>
      <w:r>
        <w:rPr>
          <w:i w:val="0"/>
          <w:iCs w:val="0"/>
        </w:rPr>
        <w:fldChar w:fldCharType="end"/>
      </w:r>
    </w:p>
    <w:p>
      <w:pPr>
        <w:pStyle w:val="21"/>
        <w:tabs>
          <w:tab w:val="right" w:leader="dot" w:pos="9660"/>
          <w:tab w:val="clear" w:pos="0"/>
        </w:tabs>
        <w:spacing w:before="120" w:after="120"/>
        <w:ind w:firstLine="201" w:firstLineChars="100"/>
        <w:jc w:val="both"/>
      </w:pPr>
      <w:r>
        <w:fldChar w:fldCharType="begin"/>
      </w:r>
      <w:r>
        <w:instrText xml:space="preserve"> HYPERLINK \l "_Toc28346" </w:instrText>
      </w:r>
      <w:r>
        <w:fldChar w:fldCharType="separate"/>
      </w:r>
      <w:r>
        <w:rPr>
          <w:rFonts w:hint="eastAsia"/>
          <w:i w:val="0"/>
          <w:iCs w:val="0"/>
        </w:rPr>
        <w:t>- f</w:t>
      </w:r>
      <w:r>
        <w:rPr>
          <w:i w:val="0"/>
          <w:iCs w:val="0"/>
        </w:rPr>
        <w:t>or eCDRX with flexible additional PDCCH monitoring, the power saving gain is in the range of {</w:t>
      </w:r>
      <w:r>
        <w:rPr>
          <w:rFonts w:hint="eastAsia"/>
          <w:i w:val="0"/>
          <w:iCs w:val="0"/>
        </w:rPr>
        <w:t>20.5</w:t>
      </w:r>
      <w:r>
        <w:rPr>
          <w:i w:val="0"/>
          <w:iCs w:val="0"/>
        </w:rPr>
        <w:t>%</w:t>
      </w:r>
      <w:r>
        <w:rPr>
          <w:rFonts w:hint="eastAsia"/>
          <w:i w:val="0"/>
          <w:iCs w:val="0"/>
        </w:rPr>
        <w:t>,21.6%</w:t>
      </w:r>
      <w:r>
        <w:rPr>
          <w:i w:val="0"/>
          <w:iCs w:val="0"/>
        </w:rPr>
        <w:t>} with</w:t>
      </w:r>
      <w:r>
        <w:rPr>
          <w:rFonts w:hint="eastAsia"/>
          <w:i w:val="0"/>
          <w:iCs w:val="0"/>
        </w:rPr>
        <w:t xml:space="preserve"> 1.51%</w:t>
      </w:r>
      <w:r>
        <w:rPr>
          <w:i w:val="0"/>
          <w:iCs w:val="0"/>
        </w:rPr>
        <w:t xml:space="preserve"> of satisfied UE loss.</w:t>
      </w:r>
      <w:r>
        <w:rPr>
          <w:i w:val="0"/>
          <w:iCs w:val="0"/>
        </w:rPr>
        <w:fldChar w:fldCharType="end"/>
      </w:r>
    </w:p>
    <w:p>
      <w:pPr>
        <w:pStyle w:val="21"/>
        <w:tabs>
          <w:tab w:val="right" w:leader="dot" w:pos="9660"/>
          <w:tab w:val="clear" w:pos="0"/>
        </w:tabs>
        <w:spacing w:before="120" w:after="120"/>
        <w:jc w:val="both"/>
      </w:pPr>
      <w:r>
        <w:fldChar w:fldCharType="begin"/>
      </w:r>
      <w:r>
        <w:instrText xml:space="preserve"> HYPERLINK \l "_Toc28978" </w:instrText>
      </w:r>
      <w:r>
        <w:fldChar w:fldCharType="separate"/>
      </w:r>
      <w:r>
        <w:rPr>
          <w:rFonts w:eastAsia="宋体"/>
          <w:i w:val="0"/>
          <w:iCs w:val="0"/>
          <w:szCs w:val="21"/>
        </w:rPr>
        <w:t xml:space="preserve">Observation 10: </w:t>
      </w:r>
      <w:r>
        <w:rPr>
          <w:i w:val="0"/>
          <w:iCs w:val="0"/>
        </w:rPr>
        <w:t xml:space="preserve">In FR1, DL+UL, </w:t>
      </w:r>
      <w:r>
        <w:rPr>
          <w:rFonts w:hint="eastAsia"/>
          <w:i w:val="0"/>
          <w:iCs w:val="0"/>
        </w:rPr>
        <w:t>InH</w:t>
      </w:r>
      <w:r>
        <w:rPr>
          <w:i w:val="0"/>
          <w:iCs w:val="0"/>
        </w:rPr>
        <w:t xml:space="preserve">, high load, </w:t>
      </w:r>
      <w:r>
        <w:rPr>
          <w:rFonts w:hint="eastAsia"/>
          <w:i w:val="0"/>
          <w:iCs w:val="0"/>
        </w:rPr>
        <w:t>CG30</w:t>
      </w:r>
      <w:r>
        <w:rPr>
          <w:i w:val="0"/>
          <w:iCs w:val="0"/>
        </w:rPr>
        <w:t>,</w:t>
      </w:r>
      <w:r>
        <w:rPr>
          <w:rFonts w:hint="eastAsia"/>
          <w:i w:val="0"/>
          <w:iCs w:val="0"/>
        </w:rPr>
        <w:t xml:space="preserve"> c</w:t>
      </w:r>
      <w:r>
        <w:rPr>
          <w:i w:val="0"/>
          <w:iCs w:val="0"/>
        </w:rPr>
        <w:t>omparing to the scheme(UE always on), following is observed:</w:t>
      </w:r>
      <w:r>
        <w:rPr>
          <w:i w:val="0"/>
          <w:iCs w:val="0"/>
        </w:rPr>
        <w:fldChar w:fldCharType="end"/>
      </w:r>
    </w:p>
    <w:p>
      <w:pPr>
        <w:pStyle w:val="21"/>
        <w:tabs>
          <w:tab w:val="right" w:leader="dot" w:pos="9660"/>
          <w:tab w:val="clear" w:pos="0"/>
        </w:tabs>
        <w:spacing w:before="120" w:after="120"/>
        <w:ind w:firstLine="201" w:firstLineChars="100"/>
        <w:jc w:val="both"/>
      </w:pPr>
      <w:r>
        <w:fldChar w:fldCharType="begin"/>
      </w:r>
      <w:r>
        <w:instrText xml:space="preserve"> HYPERLINK \l "_Toc18224" </w:instrText>
      </w:r>
      <w:r>
        <w:fldChar w:fldCharType="separate"/>
      </w:r>
      <w:r>
        <w:rPr>
          <w:rFonts w:hint="eastAsia"/>
          <w:i w:val="0"/>
          <w:iCs w:val="0"/>
        </w:rPr>
        <w:t>- f</w:t>
      </w:r>
      <w:r>
        <w:rPr>
          <w:i w:val="0"/>
          <w:iCs w:val="0"/>
        </w:rPr>
        <w:t xml:space="preserve">or </w:t>
      </w:r>
      <w:r>
        <w:rPr>
          <w:rFonts w:hint="eastAsia"/>
          <w:i w:val="0"/>
          <w:iCs w:val="0"/>
        </w:rPr>
        <w:t xml:space="preserve">R15 CDRX </w:t>
      </w:r>
      <w:r>
        <w:rPr>
          <w:i w:val="0"/>
          <w:iCs w:val="0"/>
        </w:rPr>
        <w:t>power saving scheme, the</w:t>
      </w:r>
      <w:r>
        <w:rPr>
          <w:rFonts w:hint="eastAsia"/>
          <w:i w:val="0"/>
          <w:iCs w:val="0"/>
        </w:rPr>
        <w:t xml:space="preserve"> </w:t>
      </w:r>
      <w:r>
        <w:rPr>
          <w:i w:val="0"/>
          <w:iCs w:val="0"/>
        </w:rPr>
        <w:t>power saving gain is in the range of {</w:t>
      </w:r>
      <w:r>
        <w:rPr>
          <w:rFonts w:hint="eastAsia"/>
          <w:i w:val="0"/>
          <w:iCs w:val="0"/>
        </w:rPr>
        <w:t>4.5</w:t>
      </w:r>
      <w:r>
        <w:rPr>
          <w:i w:val="0"/>
          <w:iCs w:val="0"/>
        </w:rPr>
        <w:t>%</w:t>
      </w:r>
      <w:r>
        <w:rPr>
          <w:rFonts w:hint="eastAsia"/>
          <w:i w:val="0"/>
          <w:iCs w:val="0"/>
        </w:rPr>
        <w:t>,6.3%</w:t>
      </w:r>
      <w:r>
        <w:rPr>
          <w:i w:val="0"/>
          <w:iCs w:val="0"/>
        </w:rPr>
        <w:t>} with</w:t>
      </w:r>
      <w:r>
        <w:rPr>
          <w:rFonts w:hint="eastAsia"/>
          <w:i w:val="0"/>
          <w:iCs w:val="0"/>
        </w:rPr>
        <w:t xml:space="preserve"> 7.64% </w:t>
      </w:r>
      <w:r>
        <w:rPr>
          <w:i w:val="0"/>
          <w:iCs w:val="0"/>
        </w:rPr>
        <w:t>of satisfied UE loss.</w:t>
      </w:r>
      <w:r>
        <w:rPr>
          <w:i w:val="0"/>
          <w:iCs w:val="0"/>
        </w:rPr>
        <w:fldChar w:fldCharType="end"/>
      </w:r>
    </w:p>
    <w:p>
      <w:pPr>
        <w:pStyle w:val="21"/>
        <w:tabs>
          <w:tab w:val="right" w:leader="dot" w:pos="9660"/>
          <w:tab w:val="clear" w:pos="0"/>
        </w:tabs>
        <w:spacing w:before="120" w:after="120"/>
        <w:ind w:firstLine="201" w:firstLineChars="100"/>
        <w:jc w:val="both"/>
      </w:pPr>
      <w:r>
        <w:fldChar w:fldCharType="begin"/>
      </w:r>
      <w:r>
        <w:instrText xml:space="preserve"> HYPERLINK \l "_Toc18354" </w:instrText>
      </w:r>
      <w:r>
        <w:fldChar w:fldCharType="separate"/>
      </w:r>
      <w:r>
        <w:rPr>
          <w:rFonts w:hint="eastAsia"/>
          <w:i w:val="0"/>
          <w:iCs w:val="0"/>
        </w:rPr>
        <w:t>- f</w:t>
      </w:r>
      <w:r>
        <w:rPr>
          <w:i w:val="0"/>
          <w:iCs w:val="0"/>
        </w:rPr>
        <w:t>or CDRX alignment power saving scheme, the power saving gain is in the range of {</w:t>
      </w:r>
      <w:r>
        <w:rPr>
          <w:rFonts w:hint="eastAsia"/>
          <w:i w:val="0"/>
          <w:iCs w:val="0"/>
        </w:rPr>
        <w:t>14.7</w:t>
      </w:r>
      <w:r>
        <w:rPr>
          <w:i w:val="0"/>
          <w:iCs w:val="0"/>
        </w:rPr>
        <w:t>%</w:t>
      </w:r>
      <w:r>
        <w:rPr>
          <w:rFonts w:hint="eastAsia"/>
          <w:i w:val="0"/>
          <w:iCs w:val="0"/>
        </w:rPr>
        <w:t>,23.7%</w:t>
      </w:r>
      <w:r>
        <w:rPr>
          <w:i w:val="0"/>
          <w:iCs w:val="0"/>
        </w:rPr>
        <w:t>} with</w:t>
      </w:r>
      <w:r>
        <w:rPr>
          <w:rFonts w:hint="eastAsia"/>
          <w:i w:val="0"/>
          <w:iCs w:val="0"/>
        </w:rPr>
        <w:t xml:space="preserve"> {7.64%-12.53%}% </w:t>
      </w:r>
      <w:r>
        <w:rPr>
          <w:i w:val="0"/>
          <w:iCs w:val="0"/>
        </w:rPr>
        <w:t>of satisfied UE loss.</w:t>
      </w:r>
      <w:r>
        <w:rPr>
          <w:i w:val="0"/>
          <w:iCs w:val="0"/>
        </w:rPr>
        <w:fldChar w:fldCharType="end"/>
      </w:r>
    </w:p>
    <w:p>
      <w:pPr>
        <w:pStyle w:val="21"/>
        <w:tabs>
          <w:tab w:val="right" w:leader="dot" w:pos="9660"/>
          <w:tab w:val="clear" w:pos="0"/>
        </w:tabs>
        <w:spacing w:before="120" w:after="120"/>
        <w:ind w:firstLine="201" w:firstLineChars="100"/>
        <w:jc w:val="both"/>
      </w:pPr>
      <w:r>
        <w:fldChar w:fldCharType="begin"/>
      </w:r>
      <w:r>
        <w:instrText xml:space="preserve"> HYPERLINK \l "_Toc11945" </w:instrText>
      </w:r>
      <w:r>
        <w:fldChar w:fldCharType="separate"/>
      </w:r>
      <w:r>
        <w:rPr>
          <w:rFonts w:hint="eastAsia"/>
          <w:i w:val="0"/>
          <w:iCs w:val="0"/>
        </w:rPr>
        <w:t>- f</w:t>
      </w:r>
      <w:r>
        <w:rPr>
          <w:i w:val="0"/>
          <w:iCs w:val="0"/>
        </w:rPr>
        <w:t>or eCDRX with flexible additional PDCCH monitoring, the power saving gain is in the range of {</w:t>
      </w:r>
      <w:r>
        <w:rPr>
          <w:rFonts w:hint="eastAsia"/>
          <w:i w:val="0"/>
          <w:iCs w:val="0"/>
        </w:rPr>
        <w:t>21.3</w:t>
      </w:r>
      <w:r>
        <w:rPr>
          <w:i w:val="0"/>
          <w:iCs w:val="0"/>
        </w:rPr>
        <w:t>%</w:t>
      </w:r>
      <w:r>
        <w:rPr>
          <w:rFonts w:hint="eastAsia"/>
          <w:i w:val="0"/>
          <w:iCs w:val="0"/>
        </w:rPr>
        <w:t>,22.7%</w:t>
      </w:r>
      <w:r>
        <w:rPr>
          <w:i w:val="0"/>
          <w:iCs w:val="0"/>
        </w:rPr>
        <w:t>} with</w:t>
      </w:r>
      <w:r>
        <w:rPr>
          <w:rFonts w:hint="eastAsia"/>
          <w:i w:val="0"/>
          <w:iCs w:val="0"/>
        </w:rPr>
        <w:t xml:space="preserve"> 8.34% </w:t>
      </w:r>
      <w:r>
        <w:rPr>
          <w:i w:val="0"/>
          <w:iCs w:val="0"/>
        </w:rPr>
        <w:t>of satisfied UE loss.</w:t>
      </w:r>
      <w:r>
        <w:rPr>
          <w:i w:val="0"/>
          <w:iCs w:val="0"/>
        </w:rPr>
        <w:fldChar w:fldCharType="end"/>
      </w:r>
    </w:p>
    <w:p>
      <w:pPr>
        <w:pStyle w:val="21"/>
        <w:tabs>
          <w:tab w:val="right" w:leader="dot" w:pos="9660"/>
          <w:tab w:val="clear" w:pos="0"/>
        </w:tabs>
        <w:spacing w:before="120" w:after="120"/>
        <w:jc w:val="both"/>
      </w:pPr>
      <w:r>
        <w:fldChar w:fldCharType="begin"/>
      </w:r>
      <w:r>
        <w:instrText xml:space="preserve"> HYPERLINK \l "_Toc12410" </w:instrText>
      </w:r>
      <w:r>
        <w:fldChar w:fldCharType="separate"/>
      </w:r>
      <w:r>
        <w:rPr>
          <w:rFonts w:eastAsia="宋体"/>
          <w:i w:val="0"/>
          <w:iCs w:val="0"/>
          <w:szCs w:val="21"/>
        </w:rPr>
        <w:t xml:space="preserve">Observation 11: </w:t>
      </w:r>
      <w:r>
        <w:rPr>
          <w:i w:val="0"/>
          <w:iCs w:val="0"/>
        </w:rPr>
        <w:t xml:space="preserve">In FR1, DL+UL, </w:t>
      </w:r>
      <w:r>
        <w:rPr>
          <w:rFonts w:hint="eastAsia"/>
          <w:i w:val="0"/>
          <w:iCs w:val="0"/>
        </w:rPr>
        <w:t>InH</w:t>
      </w:r>
      <w:r>
        <w:rPr>
          <w:i w:val="0"/>
          <w:iCs w:val="0"/>
        </w:rPr>
        <w:t>, high load, VR</w:t>
      </w:r>
      <w:r>
        <w:rPr>
          <w:rFonts w:hint="eastAsia"/>
          <w:i w:val="0"/>
          <w:iCs w:val="0"/>
        </w:rPr>
        <w:t>45</w:t>
      </w:r>
      <w:r>
        <w:rPr>
          <w:i w:val="0"/>
          <w:iCs w:val="0"/>
        </w:rPr>
        <w:t>,</w:t>
      </w:r>
      <w:r>
        <w:rPr>
          <w:rFonts w:hint="eastAsia"/>
          <w:i w:val="0"/>
          <w:iCs w:val="0"/>
        </w:rPr>
        <w:t xml:space="preserve"> c</w:t>
      </w:r>
      <w:r>
        <w:rPr>
          <w:i w:val="0"/>
          <w:iCs w:val="0"/>
        </w:rPr>
        <w:t>omparing to the scheme(UE always on), following is observed:</w:t>
      </w:r>
      <w:r>
        <w:rPr>
          <w:i w:val="0"/>
          <w:iCs w:val="0"/>
        </w:rPr>
        <w:fldChar w:fldCharType="end"/>
      </w:r>
    </w:p>
    <w:p>
      <w:pPr>
        <w:pStyle w:val="21"/>
        <w:tabs>
          <w:tab w:val="right" w:leader="dot" w:pos="9660"/>
          <w:tab w:val="clear" w:pos="0"/>
        </w:tabs>
        <w:spacing w:before="120" w:after="120"/>
        <w:ind w:firstLine="201" w:firstLineChars="100"/>
        <w:jc w:val="both"/>
      </w:pPr>
      <w:r>
        <w:fldChar w:fldCharType="begin"/>
      </w:r>
      <w:r>
        <w:instrText xml:space="preserve"> HYPERLINK \l "_Toc30295" </w:instrText>
      </w:r>
      <w:r>
        <w:fldChar w:fldCharType="separate"/>
      </w:r>
      <w:r>
        <w:rPr>
          <w:rFonts w:hint="eastAsia"/>
          <w:i w:val="0"/>
          <w:iCs w:val="0"/>
        </w:rPr>
        <w:t>- f</w:t>
      </w:r>
      <w:r>
        <w:rPr>
          <w:i w:val="0"/>
          <w:iCs w:val="0"/>
        </w:rPr>
        <w:t xml:space="preserve">or </w:t>
      </w:r>
      <w:r>
        <w:rPr>
          <w:rFonts w:hint="eastAsia"/>
          <w:i w:val="0"/>
          <w:iCs w:val="0"/>
        </w:rPr>
        <w:t xml:space="preserve">R15 CDRX </w:t>
      </w:r>
      <w:r>
        <w:rPr>
          <w:i w:val="0"/>
          <w:iCs w:val="0"/>
        </w:rPr>
        <w:t>power saving scheme, the power saving gain is in the range of {</w:t>
      </w:r>
      <w:r>
        <w:rPr>
          <w:rFonts w:hint="eastAsia"/>
          <w:i w:val="0"/>
          <w:iCs w:val="0"/>
        </w:rPr>
        <w:t>7.22</w:t>
      </w:r>
      <w:r>
        <w:rPr>
          <w:i w:val="0"/>
          <w:iCs w:val="0"/>
        </w:rPr>
        <w:t>%</w:t>
      </w:r>
      <w:r>
        <w:rPr>
          <w:rFonts w:hint="eastAsia"/>
          <w:i w:val="0"/>
          <w:iCs w:val="0"/>
        </w:rPr>
        <w:t>,7.83%</w:t>
      </w:r>
      <w:r>
        <w:rPr>
          <w:i w:val="0"/>
          <w:iCs w:val="0"/>
        </w:rPr>
        <w:t>} with</w:t>
      </w:r>
      <w:r>
        <w:rPr>
          <w:rFonts w:hint="eastAsia"/>
          <w:i w:val="0"/>
          <w:iCs w:val="0"/>
        </w:rPr>
        <w:t xml:space="preserve"> 4% </w:t>
      </w:r>
      <w:r>
        <w:rPr>
          <w:i w:val="0"/>
          <w:iCs w:val="0"/>
        </w:rPr>
        <w:t>of satisfied UE loss.</w:t>
      </w:r>
      <w:r>
        <w:rPr>
          <w:i w:val="0"/>
          <w:iCs w:val="0"/>
        </w:rPr>
        <w:fldChar w:fldCharType="end"/>
      </w:r>
    </w:p>
    <w:p>
      <w:pPr>
        <w:pStyle w:val="21"/>
        <w:tabs>
          <w:tab w:val="right" w:leader="dot" w:pos="9660"/>
          <w:tab w:val="clear" w:pos="0"/>
        </w:tabs>
        <w:spacing w:before="120" w:after="120"/>
        <w:ind w:firstLine="201" w:firstLineChars="100"/>
        <w:jc w:val="both"/>
      </w:pPr>
      <w:r>
        <w:fldChar w:fldCharType="begin"/>
      </w:r>
      <w:r>
        <w:instrText xml:space="preserve"> HYPERLINK \l "_Toc13439" </w:instrText>
      </w:r>
      <w:r>
        <w:fldChar w:fldCharType="separate"/>
      </w:r>
      <w:r>
        <w:rPr>
          <w:rFonts w:hint="eastAsia"/>
          <w:i w:val="0"/>
          <w:iCs w:val="0"/>
        </w:rPr>
        <w:t>- f</w:t>
      </w:r>
      <w:r>
        <w:rPr>
          <w:i w:val="0"/>
          <w:iCs w:val="0"/>
        </w:rPr>
        <w:t>or CDRX alignment power saving scheme, the power saving gain is in the range of {</w:t>
      </w:r>
      <w:r>
        <w:rPr>
          <w:rFonts w:hint="eastAsia"/>
          <w:i w:val="0"/>
          <w:iCs w:val="0"/>
        </w:rPr>
        <w:t>19.6</w:t>
      </w:r>
      <w:r>
        <w:rPr>
          <w:i w:val="0"/>
          <w:iCs w:val="0"/>
        </w:rPr>
        <w:t>%</w:t>
      </w:r>
      <w:r>
        <w:rPr>
          <w:rFonts w:hint="eastAsia"/>
          <w:i w:val="0"/>
          <w:iCs w:val="0"/>
        </w:rPr>
        <w:t>,20.5%</w:t>
      </w:r>
      <w:r>
        <w:rPr>
          <w:i w:val="0"/>
          <w:iCs w:val="0"/>
        </w:rPr>
        <w:t>} with</w:t>
      </w:r>
      <w:r>
        <w:rPr>
          <w:rFonts w:hint="eastAsia"/>
          <w:i w:val="0"/>
          <w:iCs w:val="0"/>
        </w:rPr>
        <w:t xml:space="preserve"> 2% </w:t>
      </w:r>
      <w:r>
        <w:rPr>
          <w:i w:val="0"/>
          <w:iCs w:val="0"/>
        </w:rPr>
        <w:t>of satisfied UE loss.</w:t>
      </w:r>
      <w:r>
        <w:rPr>
          <w:i w:val="0"/>
          <w:iCs w:val="0"/>
        </w:rPr>
        <w:fldChar w:fldCharType="end"/>
      </w:r>
    </w:p>
    <w:p>
      <w:pPr>
        <w:spacing w:before="120" w:after="120"/>
        <w:rPr>
          <w:szCs w:val="22"/>
        </w:rPr>
      </w:pPr>
      <w:r>
        <w:rPr>
          <w:szCs w:val="22"/>
        </w:rPr>
        <w:fldChar w:fldCharType="end"/>
      </w:r>
    </w:p>
    <w:p>
      <w:pPr>
        <w:pStyle w:val="21"/>
        <w:tabs>
          <w:tab w:val="right" w:leader="dot" w:pos="9660"/>
          <w:tab w:val="clear" w:pos="0"/>
        </w:tabs>
      </w:pPr>
      <w:r>
        <w:fldChar w:fldCharType="begin"/>
      </w:r>
      <w:r>
        <w:instrText xml:space="preserve">TOC \n  \t "YJ-Proposal,1,sub-proposal,2,3rd level proposal,3" \h</w:instrText>
      </w:r>
      <w:r>
        <w:fldChar w:fldCharType="separate"/>
      </w:r>
      <w:r>
        <w:fldChar w:fldCharType="begin"/>
      </w:r>
      <w:r>
        <w:instrText xml:space="preserve"> HYPERLINK \l _Toc26347 </w:instrText>
      </w:r>
      <w:r>
        <w:fldChar w:fldCharType="separate"/>
      </w:r>
      <w:r>
        <w:rPr>
          <w:rFonts w:hint="default" w:ascii="Times New Roman" w:hAnsi="Times New Roman" w:eastAsia="宋体" w:cs="Times New Roman"/>
          <w:bCs/>
          <w:i w:val="0"/>
          <w:iCs w:val="0"/>
          <w:szCs w:val="20"/>
          <w:lang w:val="en-US" w:eastAsia="zh-CN"/>
        </w:rPr>
        <w:t xml:space="preserve">Proposal 1: </w:t>
      </w:r>
      <w:r>
        <w:rPr>
          <w:bCs w:val="0"/>
          <w:i w:val="0"/>
          <w:iCs w:val="0"/>
        </w:rPr>
        <w:t>Semi-static RRC configuration for CDRX enhancement can be considered</w:t>
      </w:r>
      <w:r>
        <w:rPr>
          <w:rFonts w:hint="eastAsia"/>
          <w:bCs w:val="0"/>
          <w:i w:val="0"/>
          <w:iCs w:val="0"/>
          <w:lang w:val="en-US" w:eastAsia="zh-CN"/>
        </w:rPr>
        <w:t xml:space="preserve"> to align the CDRX cycle and XR traffic periodicity.</w:t>
      </w:r>
      <w:r>
        <w:fldChar w:fldCharType="end"/>
      </w:r>
    </w:p>
    <w:p>
      <w:pPr>
        <w:pStyle w:val="21"/>
        <w:tabs>
          <w:tab w:val="right" w:leader="dot" w:pos="9660"/>
          <w:tab w:val="clear" w:pos="0"/>
        </w:tabs>
        <w:ind w:firstLine="201" w:firstLineChars="100"/>
      </w:pPr>
      <w:r>
        <w:fldChar w:fldCharType="begin"/>
      </w:r>
      <w:r>
        <w:instrText xml:space="preserve"> HYPERLINK \l _Toc21977 </w:instrText>
      </w:r>
      <w:r>
        <w:fldChar w:fldCharType="separate"/>
      </w:r>
      <w:r>
        <w:rPr>
          <w:rFonts w:hint="default" w:ascii="Arial" w:hAnsi="Arial" w:eastAsia="宋体" w:cs="Arial"/>
          <w:bCs/>
          <w:i/>
          <w:iCs/>
          <w:lang w:val="en-US" w:eastAsia="zh-CN"/>
        </w:rPr>
        <w:t xml:space="preserve">• </w:t>
      </w:r>
      <w:r>
        <w:rPr>
          <w:i w:val="0"/>
          <w:iCs w:val="0"/>
        </w:rPr>
        <w:t>FFS: dynamic update of the</w:t>
      </w:r>
      <w:r>
        <w:rPr>
          <w:rFonts w:hint="eastAsia"/>
          <w:i w:val="0"/>
          <w:iCs w:val="0"/>
          <w:lang w:eastAsia="zh-CN"/>
        </w:rPr>
        <w:t xml:space="preserve"> CDRX</w:t>
      </w:r>
      <w:r>
        <w:rPr>
          <w:i w:val="0"/>
          <w:iCs w:val="0"/>
        </w:rPr>
        <w:t xml:space="preserve"> configuration.</w:t>
      </w:r>
      <w:r>
        <w:fldChar w:fldCharType="end"/>
      </w:r>
    </w:p>
    <w:p>
      <w:pPr>
        <w:pStyle w:val="21"/>
        <w:tabs>
          <w:tab w:val="right" w:leader="dot" w:pos="9660"/>
          <w:tab w:val="clear" w:pos="0"/>
        </w:tabs>
      </w:pPr>
      <w:r>
        <w:fldChar w:fldCharType="begin"/>
      </w:r>
      <w:r>
        <w:instrText xml:space="preserve"> HYPERLINK \l _Toc10544 </w:instrText>
      </w:r>
      <w:r>
        <w:fldChar w:fldCharType="separate"/>
      </w:r>
      <w:r>
        <w:rPr>
          <w:rFonts w:hint="default" w:ascii="Times New Roman" w:hAnsi="Times New Roman" w:eastAsia="宋体" w:cs="Times New Roman"/>
          <w:bCs/>
          <w:i w:val="0"/>
          <w:iCs w:val="0"/>
          <w:szCs w:val="20"/>
        </w:rPr>
        <w:t xml:space="preserve">Proposal 2: </w:t>
      </w:r>
      <w:r>
        <w:rPr>
          <w:i w:val="0"/>
          <w:lang w:val="en-US" w:eastAsia="zh-CN"/>
        </w:rPr>
        <w:t xml:space="preserve">RAN 1 to study </w:t>
      </w:r>
      <w:r>
        <w:rPr>
          <w:i w:val="0"/>
        </w:rPr>
        <w:t>solutions to match periodicities of</w:t>
      </w:r>
      <w:r>
        <w:rPr>
          <w:i w:val="0"/>
          <w:lang w:val="en-US" w:eastAsia="zh-CN"/>
        </w:rPr>
        <w:t xml:space="preserve"> XR traffic and CDRX via semi-static RRC configuration</w:t>
      </w:r>
      <w:r>
        <w:rPr>
          <w:rFonts w:hint="eastAsia"/>
          <w:i w:val="0"/>
          <w:lang w:val="en-US" w:eastAsia="zh-CN"/>
        </w:rPr>
        <w:t xml:space="preserve">, </w:t>
      </w:r>
      <w:r>
        <w:rPr>
          <w:i w:val="0"/>
          <w:lang w:val="en-US" w:eastAsia="zh-CN"/>
        </w:rPr>
        <w:t xml:space="preserve">e.g., </w:t>
      </w:r>
      <w:r>
        <w:rPr>
          <w:i w:val="0"/>
        </w:rPr>
        <w:t>multiple CDRX configurations</w:t>
      </w:r>
      <w:r>
        <w:rPr>
          <w:i w:val="0"/>
          <w:lang w:val="en-US" w:eastAsia="zh-CN"/>
        </w:rPr>
        <w:t>, n</w:t>
      </w:r>
      <w:r>
        <w:rPr>
          <w:i w:val="0"/>
        </w:rPr>
        <w:t>on-integer</w:t>
      </w:r>
      <w:r>
        <w:rPr>
          <w:rFonts w:hint="eastAsia"/>
          <w:i w:val="0"/>
          <w:lang w:eastAsia="zh-CN"/>
        </w:rPr>
        <w:t xml:space="preserve"> CDRX</w:t>
      </w:r>
      <w:r>
        <w:rPr>
          <w:i w:val="0"/>
        </w:rPr>
        <w:t xml:space="preserve"> cycle</w:t>
      </w:r>
      <w:r>
        <w:rPr>
          <w:i w:val="0"/>
          <w:lang w:val="en-US" w:eastAsia="zh-CN"/>
        </w:rPr>
        <w:t xml:space="preserve">, CDRX </w:t>
      </w:r>
      <w:r>
        <w:rPr>
          <w:i w:val="0"/>
        </w:rPr>
        <w:t>periodicity</w:t>
      </w:r>
      <w:r>
        <w:rPr>
          <w:rFonts w:hint="eastAsia"/>
          <w:i w:val="0"/>
          <w:iCs w:val="0"/>
        </w:rPr>
        <w:t xml:space="preserve"> </w:t>
      </w:r>
      <w:r>
        <w:rPr>
          <w:i w:val="0"/>
          <w:lang w:val="en-US" w:eastAsia="zh-CN"/>
        </w:rPr>
        <w:t>re</w:t>
      </w:r>
      <w:r>
        <w:rPr>
          <w:i w:val="0"/>
        </w:rPr>
        <w:t>synchronizatio</w:t>
      </w:r>
      <w:r>
        <w:rPr>
          <w:i w:val="0"/>
          <w:lang w:val="en-US" w:eastAsia="zh-CN"/>
        </w:rPr>
        <w:t>n</w:t>
      </w:r>
      <w:r>
        <w:rPr>
          <w:rFonts w:hint="eastAsia"/>
          <w:i w:val="0"/>
          <w:lang w:val="en-US" w:eastAsia="zh-CN"/>
        </w:rPr>
        <w:t>.</w:t>
      </w:r>
      <w:r>
        <w:fldChar w:fldCharType="end"/>
      </w:r>
    </w:p>
    <w:p>
      <w:pPr>
        <w:pStyle w:val="21"/>
        <w:tabs>
          <w:tab w:val="right" w:leader="dot" w:pos="9660"/>
          <w:tab w:val="clear" w:pos="0"/>
        </w:tabs>
      </w:pPr>
      <w:r>
        <w:fldChar w:fldCharType="begin"/>
      </w:r>
      <w:r>
        <w:instrText xml:space="preserve"> HYPERLINK \l _Toc2807 </w:instrText>
      </w:r>
      <w:r>
        <w:fldChar w:fldCharType="separate"/>
      </w:r>
      <w:r>
        <w:rPr>
          <w:rFonts w:hint="default" w:ascii="Times New Roman" w:hAnsi="Times New Roman" w:eastAsia="宋体" w:cs="Times New Roman"/>
          <w:bCs/>
          <w:i w:val="0"/>
          <w:iCs w:val="0"/>
          <w:szCs w:val="20"/>
        </w:rPr>
        <w:t xml:space="preserve">Proposal 3: </w:t>
      </w:r>
      <w:r>
        <w:rPr>
          <w:i w:val="0"/>
          <w:iCs w:val="0"/>
        </w:rPr>
        <w:t>Enhancements of handling jitter through introducing flexible additional PDCCH monitoring, or introducing a new wake up signal can be studied.</w:t>
      </w:r>
      <w:r>
        <w:fldChar w:fldCharType="end"/>
      </w:r>
    </w:p>
    <w:p>
      <w:pPr>
        <w:pStyle w:val="21"/>
        <w:tabs>
          <w:tab w:val="right" w:leader="dot" w:pos="9660"/>
          <w:tab w:val="clear" w:pos="0"/>
        </w:tabs>
      </w:pPr>
      <w:r>
        <w:fldChar w:fldCharType="begin"/>
      </w:r>
      <w:r>
        <w:instrText xml:space="preserve"> HYPERLINK \l _Toc23981 </w:instrText>
      </w:r>
      <w:r>
        <w:fldChar w:fldCharType="separate"/>
      </w:r>
      <w:r>
        <w:rPr>
          <w:rFonts w:hint="default" w:ascii="Times New Roman" w:hAnsi="Times New Roman" w:eastAsia="宋体" w:cs="Times New Roman"/>
          <w:bCs/>
          <w:i w:val="0"/>
          <w:iCs w:val="0"/>
          <w:szCs w:val="20"/>
        </w:rPr>
        <w:t xml:space="preserve">Proposal 4: </w:t>
      </w:r>
      <w:r>
        <w:rPr>
          <w:i w:val="0"/>
          <w:iCs w:val="0"/>
        </w:rPr>
        <w:t>For UL, power saving schemes and corresponding evaluations should be considered.</w:t>
      </w:r>
      <w:r>
        <w:fldChar w:fldCharType="end"/>
      </w:r>
    </w:p>
    <w:p>
      <w:pPr>
        <w:spacing w:before="120" w:after="120"/>
        <w:rPr>
          <w:szCs w:val="22"/>
        </w:rPr>
      </w:pPr>
      <w:r>
        <w:fldChar w:fldCharType="end"/>
      </w: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References</w:t>
      </w:r>
    </w:p>
    <w:p>
      <w:pPr>
        <w:pStyle w:val="44"/>
        <w:spacing w:before="120" w:after="120"/>
        <w:rPr>
          <w:szCs w:val="20"/>
        </w:rPr>
      </w:pPr>
      <w:bookmarkStart w:id="155" w:name="_Ref17466"/>
      <w:r>
        <w:rPr>
          <w:szCs w:val="20"/>
        </w:rPr>
        <w:t>3GPP TR 38.838,</w:t>
      </w:r>
      <w:r>
        <w:rPr>
          <w:rFonts w:hint="eastAsia"/>
          <w:szCs w:val="20"/>
        </w:rPr>
        <w:t xml:space="preserve"> </w:t>
      </w:r>
      <w:r>
        <w:t>Study on XR (Extended Reality) Evaluations for NR.</w:t>
      </w:r>
    </w:p>
    <w:p>
      <w:pPr>
        <w:pStyle w:val="44"/>
        <w:spacing w:before="120" w:after="120"/>
        <w:rPr>
          <w:szCs w:val="20"/>
        </w:rPr>
      </w:pPr>
      <w:r>
        <w:rPr>
          <w:szCs w:val="20"/>
        </w:rPr>
        <w:t>R1-2203591, Discussion on UE power saving for XR and media services, ZTE, Sanechips, RAN1#109-e</w:t>
      </w:r>
    </w:p>
    <w:p>
      <w:pPr>
        <w:pStyle w:val="44"/>
        <w:spacing w:before="120" w:after="120"/>
        <w:rPr>
          <w:szCs w:val="20"/>
        </w:rPr>
      </w:pPr>
      <w:r>
        <w:rPr>
          <w:szCs w:val="20"/>
        </w:rPr>
        <w:t>R1-2111787, Discussion on enhancements for XR, Ericsson, RAN1#107-e</w:t>
      </w:r>
    </w:p>
    <w:p>
      <w:pPr>
        <w:pStyle w:val="44"/>
        <w:spacing w:before="120" w:after="120"/>
        <w:rPr>
          <w:szCs w:val="20"/>
        </w:rPr>
      </w:pPr>
      <w:r>
        <w:rPr>
          <w:szCs w:val="20"/>
        </w:rPr>
        <w:t>R1-2111831, Discussion on remaining issues and enhancements for XR evaluations, InterDigital Inc, RAN1#107-e</w:t>
      </w:r>
    </w:p>
    <w:p>
      <w:pPr>
        <w:pStyle w:val="44"/>
        <w:spacing w:before="120" w:after="120"/>
        <w:rPr>
          <w:szCs w:val="20"/>
        </w:rPr>
      </w:pPr>
      <w:r>
        <w:rPr>
          <w:szCs w:val="20"/>
        </w:rPr>
        <w:t>R1-2203608, Consideration about XR services, ZTE, Sanechips, RAN1#109-e</w:t>
      </w:r>
    </w:p>
    <w:bookmarkEnd w:id="155"/>
    <w:p>
      <w:pPr>
        <w:spacing w:before="120" w:after="120" w:line="260" w:lineRule="auto"/>
        <w:jc w:val="center"/>
        <w:rPr>
          <w:sz w:val="20"/>
        </w:rPr>
      </w:pPr>
      <w:r>
        <w:t xml:space="preserve"> </w:t>
      </w:r>
    </w:p>
    <w:p>
      <w:pPr>
        <w:pStyle w:val="2"/>
        <w:numPr>
          <w:ilvl w:val="0"/>
          <w:numId w:val="0"/>
        </w:numPr>
        <w:spacing w:before="120" w:after="120"/>
        <w:rPr>
          <w:rFonts w:ascii="Times New Roman" w:hAnsi="Times New Roman" w:eastAsia="宋体"/>
        </w:rPr>
      </w:pPr>
      <w:r>
        <w:rPr>
          <w:rFonts w:ascii="Times New Roman" w:hAnsi="Times New Roman" w:eastAsia="宋体"/>
        </w:rPr>
        <w:t xml:space="preserve">Appendix </w:t>
      </w:r>
    </w:p>
    <w:p>
      <w:pPr>
        <w:pStyle w:val="3"/>
        <w:numPr>
          <w:ilvl w:val="0"/>
          <w:numId w:val="0"/>
        </w:numPr>
        <w:spacing w:before="120" w:after="120"/>
        <w:ind w:right="210"/>
        <w:rPr>
          <w:rFonts w:ascii="Times New Roman" w:hAnsi="Times New Roman" w:eastAsia="宋体"/>
        </w:rPr>
      </w:pPr>
      <w:r>
        <w:rPr>
          <w:rFonts w:ascii="Times New Roman" w:hAnsi="Times New Roman" w:eastAsia="宋体"/>
        </w:rPr>
        <w:t>A Simulation Parameters</w:t>
      </w:r>
    </w:p>
    <w:p>
      <w:pPr>
        <w:pStyle w:val="14"/>
        <w:keepNext/>
        <w:spacing w:before="120" w:after="120"/>
        <w:jc w:val="center"/>
        <w:rPr>
          <w:rFonts w:ascii="Times New Roman" w:hAnsi="Times New Roman"/>
        </w:rPr>
      </w:pPr>
      <w:r>
        <w:rPr>
          <w:rFonts w:ascii="Times New Roman" w:hAnsi="Times New Roman"/>
        </w:rPr>
        <w:t>Table A</w:t>
      </w:r>
      <w:r>
        <w:rPr>
          <w:rFonts w:hint="eastAsia" w:ascii="Times New Roman" w:hAnsi="Times New Roman"/>
        </w:rPr>
        <w:t>.1</w:t>
      </w:r>
      <w:r>
        <w:rPr>
          <w:rFonts w:ascii="Times New Roman" w:hAnsi="Times New Roman"/>
        </w:rPr>
        <w:t xml:space="preserve"> simulation parameters for </w:t>
      </w:r>
      <w:r>
        <w:rPr>
          <w:rFonts w:hint="eastAsia" w:ascii="Times New Roman" w:hAnsi="Times New Roman"/>
        </w:rPr>
        <w:t>FR1 DL</w:t>
      </w:r>
    </w:p>
    <w:tbl>
      <w:tblPr>
        <w:tblStyle w:val="28"/>
        <w:tblW w:w="101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4"/>
        <w:gridCol w:w="7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54" w:type="dxa"/>
            <w:vAlign w:val="center"/>
          </w:tcPr>
          <w:p>
            <w:pPr>
              <w:widowControl w:val="0"/>
              <w:spacing w:before="120" w:after="120"/>
              <w:jc w:val="center"/>
              <w:textAlignment w:val="center"/>
              <w:rPr>
                <w:b/>
                <w:color w:val="000000"/>
                <w:sz w:val="20"/>
              </w:rPr>
            </w:pPr>
            <w:bookmarkStart w:id="156" w:name="_Ref9233"/>
            <w:bookmarkStart w:id="157" w:name="OLE_LINK19"/>
            <w:bookmarkStart w:id="158" w:name="OLE_LINK18"/>
            <w:r>
              <w:rPr>
                <w:b/>
                <w:color w:val="000000"/>
                <w:kern w:val="0"/>
                <w:sz w:val="20"/>
              </w:rPr>
              <w:t>Parameters</w:t>
            </w:r>
          </w:p>
        </w:tc>
        <w:tc>
          <w:tcPr>
            <w:tcW w:w="7967" w:type="dxa"/>
            <w:vAlign w:val="center"/>
          </w:tcPr>
          <w:p>
            <w:pPr>
              <w:widowControl w:val="0"/>
              <w:spacing w:before="120" w:after="120"/>
              <w:jc w:val="center"/>
              <w:textAlignment w:val="center"/>
              <w:rPr>
                <w:b/>
                <w:color w:val="000000"/>
                <w:kern w:val="0"/>
                <w:sz w:val="20"/>
              </w:rPr>
            </w:pPr>
            <w:r>
              <w:rPr>
                <w:b/>
                <w:color w:val="000000"/>
                <w:kern w:val="0"/>
                <w:sz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2154" w:type="dxa"/>
            <w:vAlign w:val="center"/>
          </w:tcPr>
          <w:p>
            <w:pPr>
              <w:widowControl w:val="0"/>
              <w:spacing w:before="120" w:after="120"/>
              <w:jc w:val="center"/>
              <w:rPr>
                <w:color w:val="000000"/>
                <w:kern w:val="0"/>
                <w:sz w:val="20"/>
              </w:rPr>
            </w:pPr>
            <w:r>
              <w:rPr>
                <w:rFonts w:eastAsiaTheme="minorEastAsia"/>
              </w:rPr>
              <w:t>Scenario</w:t>
            </w:r>
          </w:p>
        </w:tc>
        <w:tc>
          <w:tcPr>
            <w:tcW w:w="7967" w:type="dxa"/>
            <w:vAlign w:val="center"/>
          </w:tcPr>
          <w:p>
            <w:pPr>
              <w:widowControl w:val="0"/>
              <w:spacing w:before="120" w:after="120"/>
              <w:jc w:val="center"/>
              <w:rPr>
                <w:rFonts w:eastAsiaTheme="minorEastAsia"/>
              </w:rPr>
            </w:pPr>
            <w:r>
              <w:rPr>
                <w:rFonts w:eastAsiaTheme="minorEastAsia"/>
              </w:rPr>
              <w:t>Indoor Hotspot</w:t>
            </w:r>
            <w:r>
              <w:rPr>
                <w:rFonts w:hint="eastAsia" w:eastAsiaTheme="minorEastAsia"/>
              </w:rPr>
              <w:t>(</w:t>
            </w:r>
            <w:r>
              <w:rPr>
                <w:rFonts w:eastAsiaTheme="minorEastAsia"/>
              </w:rPr>
              <w:t>12 nodes in 50 m x 120 m</w:t>
            </w:r>
            <w:r>
              <w:rPr>
                <w:rFonts w:hint="eastAsia" w:eastAsia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vAlign w:val="center"/>
          </w:tcPr>
          <w:p>
            <w:pPr>
              <w:widowControl w:val="0"/>
              <w:spacing w:before="120" w:after="120"/>
              <w:jc w:val="center"/>
              <w:textAlignment w:val="center"/>
              <w:rPr>
                <w:color w:val="000000"/>
                <w:sz w:val="20"/>
              </w:rPr>
            </w:pPr>
            <w:r>
              <w:rPr>
                <w:color w:val="000000"/>
                <w:kern w:val="0"/>
                <w:sz w:val="20"/>
              </w:rPr>
              <w:t>Inter-BS distance</w:t>
            </w:r>
          </w:p>
        </w:tc>
        <w:tc>
          <w:tcPr>
            <w:tcW w:w="7967" w:type="dxa"/>
            <w:vAlign w:val="center"/>
          </w:tcPr>
          <w:p>
            <w:pPr>
              <w:widowControl w:val="0"/>
              <w:spacing w:before="120" w:after="120"/>
              <w:jc w:val="center"/>
              <w:textAlignment w:val="center"/>
              <w:rPr>
                <w:color w:val="000000"/>
                <w:kern w:val="0"/>
                <w:sz w:val="20"/>
              </w:rPr>
            </w:pPr>
            <w:r>
              <w:rPr>
                <w:color w:val="000000"/>
                <w:kern w:val="0"/>
                <w:sz w:val="20"/>
              </w:rPr>
              <w:t>20m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vAlign w:val="center"/>
          </w:tcPr>
          <w:p>
            <w:pPr>
              <w:widowControl w:val="0"/>
              <w:spacing w:before="120" w:after="120"/>
              <w:jc w:val="center"/>
              <w:textAlignment w:val="center"/>
              <w:rPr>
                <w:color w:val="000000"/>
                <w:sz w:val="20"/>
              </w:rPr>
            </w:pPr>
            <w:r>
              <w:rPr>
                <w:color w:val="000000"/>
                <w:kern w:val="0"/>
                <w:sz w:val="20"/>
              </w:rPr>
              <w:t>Carrier frequency</w:t>
            </w:r>
          </w:p>
        </w:tc>
        <w:tc>
          <w:tcPr>
            <w:tcW w:w="7967" w:type="dxa"/>
            <w:vAlign w:val="center"/>
          </w:tcPr>
          <w:p>
            <w:pPr>
              <w:widowControl w:val="0"/>
              <w:spacing w:before="120" w:after="120"/>
              <w:jc w:val="center"/>
              <w:textAlignment w:val="center"/>
              <w:rPr>
                <w:color w:val="000000"/>
                <w:kern w:val="0"/>
                <w:sz w:val="20"/>
              </w:rPr>
            </w:pPr>
            <w:r>
              <w:rPr>
                <w:color w:val="000000"/>
                <w:kern w:val="0"/>
                <w:sz w:val="20"/>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2154" w:type="dxa"/>
            <w:vAlign w:val="center"/>
          </w:tcPr>
          <w:p>
            <w:pPr>
              <w:widowControl w:val="0"/>
              <w:spacing w:before="120" w:after="120"/>
              <w:jc w:val="center"/>
              <w:textAlignment w:val="center"/>
              <w:rPr>
                <w:color w:val="000000"/>
                <w:sz w:val="20"/>
              </w:rPr>
            </w:pPr>
            <w:r>
              <w:rPr>
                <w:color w:val="000000"/>
                <w:kern w:val="0"/>
                <w:sz w:val="20"/>
              </w:rPr>
              <w:t>Duplex Mode / Simulation bandwidth</w:t>
            </w:r>
          </w:p>
        </w:tc>
        <w:tc>
          <w:tcPr>
            <w:tcW w:w="7967" w:type="dxa"/>
            <w:vAlign w:val="center"/>
          </w:tcPr>
          <w:p>
            <w:pPr>
              <w:widowControl w:val="0"/>
              <w:spacing w:before="120" w:after="120"/>
              <w:jc w:val="center"/>
              <w:textAlignment w:val="center"/>
              <w:rPr>
                <w:color w:val="000000"/>
                <w:kern w:val="0"/>
                <w:sz w:val="20"/>
              </w:rPr>
            </w:pPr>
            <w:r>
              <w:rPr>
                <w:color w:val="000000"/>
                <w:kern w:val="0"/>
                <w:sz w:val="20"/>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vAlign w:val="center"/>
          </w:tcPr>
          <w:p>
            <w:pPr>
              <w:widowControl w:val="0"/>
              <w:spacing w:before="120" w:after="120"/>
              <w:jc w:val="center"/>
              <w:textAlignment w:val="center"/>
              <w:rPr>
                <w:color w:val="000000"/>
                <w:sz w:val="20"/>
              </w:rPr>
            </w:pPr>
            <w:r>
              <w:rPr>
                <w:color w:val="000000"/>
                <w:kern w:val="0"/>
                <w:sz w:val="20"/>
              </w:rPr>
              <w:t>SCS</w:t>
            </w:r>
          </w:p>
        </w:tc>
        <w:tc>
          <w:tcPr>
            <w:tcW w:w="7967" w:type="dxa"/>
            <w:vAlign w:val="center"/>
          </w:tcPr>
          <w:p>
            <w:pPr>
              <w:widowControl w:val="0"/>
              <w:spacing w:before="120" w:after="120"/>
              <w:jc w:val="center"/>
              <w:textAlignment w:val="center"/>
              <w:rPr>
                <w:color w:val="000000"/>
                <w:kern w:val="0"/>
                <w:sz w:val="20"/>
              </w:rPr>
            </w:pPr>
            <w:r>
              <w:rPr>
                <w:color w:val="000000"/>
                <w:kern w:val="0"/>
                <w:sz w:val="20"/>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vAlign w:val="center"/>
          </w:tcPr>
          <w:p>
            <w:pPr>
              <w:widowControl w:val="0"/>
              <w:spacing w:before="120" w:after="120"/>
              <w:jc w:val="center"/>
              <w:textAlignment w:val="center"/>
              <w:rPr>
                <w:color w:val="000000"/>
                <w:kern w:val="0"/>
                <w:sz w:val="20"/>
              </w:rPr>
            </w:pPr>
            <w:r>
              <w:rPr>
                <w:color w:val="000000"/>
                <w:kern w:val="0"/>
                <w:sz w:val="20"/>
              </w:rPr>
              <w:t>TDD pattern</w:t>
            </w:r>
          </w:p>
        </w:tc>
        <w:tc>
          <w:tcPr>
            <w:tcW w:w="7967" w:type="dxa"/>
            <w:vAlign w:val="center"/>
          </w:tcPr>
          <w:p>
            <w:pPr>
              <w:widowControl w:val="0"/>
              <w:spacing w:before="120" w:after="120"/>
              <w:jc w:val="center"/>
              <w:textAlignment w:val="center"/>
              <w:rPr>
                <w:color w:val="000000"/>
                <w:kern w:val="0"/>
                <w:sz w:val="20"/>
              </w:rPr>
            </w:pPr>
            <w:r>
              <w:rPr>
                <w:color w:val="000000"/>
                <w:kern w:val="0"/>
                <w:sz w:val="20"/>
              </w:rPr>
              <w:t>DDDSU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jc w:val="center"/>
        </w:trPr>
        <w:tc>
          <w:tcPr>
            <w:tcW w:w="2154" w:type="dxa"/>
            <w:vAlign w:val="center"/>
          </w:tcPr>
          <w:p>
            <w:pPr>
              <w:widowControl w:val="0"/>
              <w:spacing w:before="120" w:after="120"/>
              <w:jc w:val="center"/>
              <w:textAlignment w:val="center"/>
              <w:rPr>
                <w:color w:val="000000"/>
                <w:sz w:val="20"/>
              </w:rPr>
            </w:pPr>
            <w:r>
              <w:rPr>
                <w:color w:val="000000"/>
                <w:kern w:val="0"/>
                <w:sz w:val="20"/>
              </w:rPr>
              <w:t>BS Antenna Configuration</w:t>
            </w:r>
          </w:p>
        </w:tc>
        <w:tc>
          <w:tcPr>
            <w:tcW w:w="7967" w:type="dxa"/>
            <w:vAlign w:val="center"/>
          </w:tcPr>
          <w:p>
            <w:pPr>
              <w:widowControl w:val="0"/>
              <w:spacing w:before="120" w:after="120"/>
              <w:jc w:val="center"/>
              <w:textAlignment w:val="center"/>
              <w:rPr>
                <w:b/>
                <w:color w:val="000000"/>
                <w:sz w:val="20"/>
              </w:rPr>
            </w:pPr>
            <w:r>
              <w:rPr>
                <w:rStyle w:val="82"/>
              </w:rPr>
              <w:t>32 Tx antenna ports, and (dH, dV) = (0.5λ, 0.5λ);</w:t>
            </w:r>
          </w:p>
          <w:p>
            <w:pPr>
              <w:widowControl w:val="0"/>
              <w:spacing w:before="120" w:after="120"/>
              <w:jc w:val="center"/>
              <w:textAlignment w:val="center"/>
              <w:rPr>
                <w:color w:val="000000"/>
                <w:sz w:val="20"/>
              </w:rPr>
            </w:pPr>
            <w:r>
              <w:rPr>
                <w:color w:val="000000"/>
                <w:kern w:val="0"/>
                <w:sz w:val="20"/>
              </w:rPr>
              <w:t>32TX:(M, N, P, Mg, Ng; Mp, Np) = (4,4, 2, 1, 1; 4, 4);</w:t>
            </w:r>
          </w:p>
          <w:p>
            <w:pPr>
              <w:widowControl w:val="0"/>
              <w:spacing w:before="120" w:after="120"/>
              <w:jc w:val="center"/>
              <w:textAlignment w:val="center"/>
              <w:rPr>
                <w:color w:val="000000"/>
                <w:kern w:val="0"/>
                <w:sz w:val="20"/>
              </w:rPr>
            </w:pPr>
            <w:r>
              <w:rPr>
                <w:color w:val="000000"/>
                <w:kern w:val="0"/>
                <w:sz w:val="20"/>
              </w:rPr>
              <w:t>The antenna tilt is 90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2154" w:type="dxa"/>
            <w:vAlign w:val="center"/>
          </w:tcPr>
          <w:p>
            <w:pPr>
              <w:widowControl w:val="0"/>
              <w:spacing w:before="120" w:after="120"/>
              <w:jc w:val="center"/>
              <w:textAlignment w:val="center"/>
              <w:rPr>
                <w:color w:val="000000"/>
                <w:sz w:val="20"/>
              </w:rPr>
            </w:pPr>
            <w:r>
              <w:rPr>
                <w:color w:val="000000"/>
                <w:kern w:val="0"/>
                <w:sz w:val="20"/>
              </w:rPr>
              <w:t>UE Antenna Configuration</w:t>
            </w:r>
          </w:p>
        </w:tc>
        <w:tc>
          <w:tcPr>
            <w:tcW w:w="7967" w:type="dxa"/>
            <w:vAlign w:val="center"/>
          </w:tcPr>
          <w:p>
            <w:pPr>
              <w:widowControl w:val="0"/>
              <w:spacing w:before="120" w:after="120"/>
              <w:jc w:val="center"/>
              <w:textAlignment w:val="center"/>
            </w:pPr>
            <w:r>
              <w:rPr>
                <w:rStyle w:val="82"/>
              </w:rPr>
              <w:t>4 Rx antenna ports, and Panel model 1: dH = 0.5λ</w:t>
            </w:r>
          </w:p>
          <w:p>
            <w:pPr>
              <w:widowControl w:val="0"/>
              <w:spacing w:before="120" w:after="120"/>
              <w:jc w:val="center"/>
              <w:textAlignment w:val="center"/>
              <w:rPr>
                <w:color w:val="000000"/>
                <w:kern w:val="0"/>
                <w:sz w:val="20"/>
              </w:rPr>
            </w:pPr>
            <w:r>
              <w:rPr>
                <w:color w:val="000000"/>
                <w:kern w:val="0"/>
                <w:sz w:val="20"/>
              </w:rPr>
              <w:t>4 Rx: (M, N, P, Mg, Ng; Mp, Np) = (1,2,2,1,1;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2154" w:type="dxa"/>
            <w:vAlign w:val="center"/>
          </w:tcPr>
          <w:p>
            <w:pPr>
              <w:widowControl w:val="0"/>
              <w:spacing w:before="120" w:after="120"/>
              <w:jc w:val="center"/>
              <w:textAlignment w:val="center"/>
              <w:rPr>
                <w:color w:val="000000"/>
                <w:sz w:val="20"/>
              </w:rPr>
            </w:pPr>
            <w:r>
              <w:rPr>
                <w:color w:val="000000"/>
                <w:kern w:val="0"/>
                <w:sz w:val="20"/>
              </w:rPr>
              <w:t>Transmit Power</w:t>
            </w:r>
          </w:p>
        </w:tc>
        <w:tc>
          <w:tcPr>
            <w:tcW w:w="7967" w:type="dxa"/>
            <w:vAlign w:val="center"/>
          </w:tcPr>
          <w:p>
            <w:pPr>
              <w:widowControl w:val="0"/>
              <w:spacing w:before="120" w:after="120"/>
              <w:jc w:val="center"/>
              <w:textAlignment w:val="center"/>
              <w:rPr>
                <w:color w:val="000000"/>
                <w:kern w:val="0"/>
                <w:sz w:val="20"/>
              </w:rPr>
            </w:pPr>
            <w:r>
              <w:rPr>
                <w:color w:val="000000"/>
                <w:kern w:val="0"/>
                <w:sz w:val="20"/>
              </w:rPr>
              <w:t>24 dBm per 20M at TRP, and 23 dBm at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vAlign w:val="center"/>
          </w:tcPr>
          <w:p>
            <w:pPr>
              <w:widowControl w:val="0"/>
              <w:spacing w:before="120" w:after="120"/>
              <w:jc w:val="center"/>
              <w:textAlignment w:val="center"/>
              <w:rPr>
                <w:color w:val="000000"/>
                <w:sz w:val="20"/>
              </w:rPr>
            </w:pPr>
            <w:r>
              <w:rPr>
                <w:rFonts w:hint="eastAsia"/>
                <w:color w:val="000000"/>
                <w:kern w:val="0"/>
                <w:sz w:val="20"/>
              </w:rPr>
              <w:t xml:space="preserve">BS </w:t>
            </w:r>
            <w:r>
              <w:rPr>
                <w:color w:val="000000"/>
                <w:kern w:val="0"/>
                <w:sz w:val="20"/>
              </w:rPr>
              <w:t>Height</w:t>
            </w:r>
          </w:p>
        </w:tc>
        <w:tc>
          <w:tcPr>
            <w:tcW w:w="7967" w:type="dxa"/>
            <w:vAlign w:val="center"/>
          </w:tcPr>
          <w:p>
            <w:pPr>
              <w:widowControl w:val="0"/>
              <w:spacing w:before="120" w:after="120"/>
              <w:jc w:val="center"/>
              <w:textAlignment w:val="center"/>
              <w:rPr>
                <w:color w:val="000000"/>
                <w:kern w:val="0"/>
                <w:sz w:val="20"/>
              </w:rPr>
            </w:pPr>
            <w:r>
              <w:rPr>
                <w:color w:val="000000"/>
                <w:kern w:val="0"/>
                <w:sz w:val="20"/>
              </w:rPr>
              <w:t>3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vAlign w:val="center"/>
          </w:tcPr>
          <w:p>
            <w:pPr>
              <w:widowControl w:val="0"/>
              <w:spacing w:before="120" w:after="120"/>
              <w:jc w:val="center"/>
              <w:textAlignment w:val="center"/>
              <w:rPr>
                <w:color w:val="000000"/>
                <w:kern w:val="0"/>
                <w:sz w:val="20"/>
              </w:rPr>
            </w:pPr>
            <w:r>
              <w:rPr>
                <w:rFonts w:hint="eastAsia"/>
                <w:color w:val="000000"/>
                <w:kern w:val="0"/>
                <w:sz w:val="20"/>
              </w:rPr>
              <w:t>UE Height</w:t>
            </w:r>
          </w:p>
        </w:tc>
        <w:tc>
          <w:tcPr>
            <w:tcW w:w="7967" w:type="dxa"/>
            <w:vAlign w:val="center"/>
          </w:tcPr>
          <w:p>
            <w:pPr>
              <w:widowControl w:val="0"/>
              <w:spacing w:before="120" w:after="120"/>
              <w:jc w:val="center"/>
              <w:textAlignment w:val="center"/>
            </w:pPr>
            <w:r>
              <w:rPr>
                <w:rFonts w:hint="eastAsia"/>
                <w:color w:val="000000"/>
                <w:kern w:val="0"/>
                <w:sz w:val="20"/>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vAlign w:val="center"/>
          </w:tcPr>
          <w:p>
            <w:pPr>
              <w:widowControl w:val="0"/>
              <w:spacing w:before="120" w:after="120"/>
              <w:jc w:val="center"/>
              <w:textAlignment w:val="center"/>
              <w:rPr>
                <w:color w:val="000000"/>
                <w:sz w:val="20"/>
              </w:rPr>
            </w:pPr>
            <w:r>
              <w:rPr>
                <w:color w:val="000000"/>
                <w:kern w:val="0"/>
                <w:sz w:val="20"/>
              </w:rPr>
              <w:t>Antenna Element Gain</w:t>
            </w:r>
          </w:p>
        </w:tc>
        <w:tc>
          <w:tcPr>
            <w:tcW w:w="7967" w:type="dxa"/>
            <w:vAlign w:val="center"/>
          </w:tcPr>
          <w:p>
            <w:pPr>
              <w:widowControl w:val="0"/>
              <w:spacing w:before="120" w:after="120"/>
              <w:jc w:val="center"/>
              <w:textAlignment w:val="center"/>
              <w:rPr>
                <w:color w:val="000000"/>
                <w:kern w:val="0"/>
                <w:sz w:val="20"/>
              </w:rPr>
            </w:pPr>
            <w:r>
              <w:rPr>
                <w:color w:val="000000"/>
                <w:kern w:val="0"/>
                <w:sz w:val="20"/>
              </w:rPr>
              <w:t>5dBi for BS and 0 dBi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vAlign w:val="center"/>
          </w:tcPr>
          <w:p>
            <w:pPr>
              <w:widowControl w:val="0"/>
              <w:spacing w:before="120" w:after="120"/>
              <w:jc w:val="center"/>
              <w:textAlignment w:val="center"/>
              <w:rPr>
                <w:color w:val="000000"/>
                <w:sz w:val="20"/>
              </w:rPr>
            </w:pPr>
            <w:r>
              <w:rPr>
                <w:color w:val="000000"/>
                <w:kern w:val="0"/>
                <w:sz w:val="20"/>
              </w:rPr>
              <w:t>Receiver Noise Figure</w:t>
            </w:r>
          </w:p>
        </w:tc>
        <w:tc>
          <w:tcPr>
            <w:tcW w:w="7967" w:type="dxa"/>
            <w:vAlign w:val="center"/>
          </w:tcPr>
          <w:p>
            <w:pPr>
              <w:widowControl w:val="0"/>
              <w:spacing w:before="120" w:after="120"/>
              <w:jc w:val="center"/>
              <w:textAlignment w:val="center"/>
              <w:rPr>
                <w:color w:val="000000"/>
                <w:kern w:val="0"/>
                <w:sz w:val="20"/>
              </w:rPr>
            </w:pPr>
            <w:r>
              <w:rPr>
                <w:color w:val="000000"/>
                <w:kern w:val="0"/>
                <w:sz w:val="20"/>
              </w:rPr>
              <w:t>5 dB for BS and 9 dB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2154" w:type="dxa"/>
            <w:vAlign w:val="center"/>
          </w:tcPr>
          <w:p>
            <w:pPr>
              <w:widowControl w:val="0"/>
              <w:spacing w:before="120" w:after="120"/>
              <w:jc w:val="center"/>
              <w:textAlignment w:val="center"/>
              <w:rPr>
                <w:color w:val="000000"/>
                <w:sz w:val="20"/>
              </w:rPr>
            </w:pPr>
            <w:r>
              <w:rPr>
                <w:color w:val="000000"/>
                <w:kern w:val="0"/>
                <w:sz w:val="20"/>
              </w:rPr>
              <w:t>UE distribution</w:t>
            </w:r>
          </w:p>
        </w:tc>
        <w:tc>
          <w:tcPr>
            <w:tcW w:w="7967" w:type="dxa"/>
            <w:vAlign w:val="center"/>
          </w:tcPr>
          <w:p>
            <w:pPr>
              <w:widowControl w:val="0"/>
              <w:spacing w:before="120" w:after="120"/>
              <w:jc w:val="center"/>
              <w:textAlignment w:val="center"/>
              <w:rPr>
                <w:color w:val="000000"/>
                <w:sz w:val="20"/>
              </w:rPr>
            </w:pPr>
            <w:r>
              <w:rPr>
                <w:color w:val="000000"/>
                <w:kern w:val="0"/>
                <w:sz w:val="20"/>
              </w:rPr>
              <w:t>100% of users are indoor</w:t>
            </w:r>
          </w:p>
          <w:p>
            <w:pPr>
              <w:widowControl w:val="0"/>
              <w:spacing w:before="120" w:after="120"/>
              <w:jc w:val="center"/>
              <w:textAlignment w:val="center"/>
              <w:rPr>
                <w:color w:val="000000"/>
                <w:kern w:val="0"/>
                <w:sz w:val="20"/>
              </w:rPr>
            </w:pPr>
            <w:r>
              <w:rPr>
                <w:color w:val="000000"/>
                <w:kern w:val="0"/>
                <w:sz w:val="20"/>
              </w:rPr>
              <w:t>Use 3km/h for modeling fading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vAlign w:val="center"/>
          </w:tcPr>
          <w:p>
            <w:pPr>
              <w:widowControl w:val="0"/>
              <w:spacing w:before="120" w:after="120"/>
              <w:jc w:val="center"/>
              <w:textAlignment w:val="center"/>
              <w:rPr>
                <w:color w:val="000000"/>
                <w:sz w:val="20"/>
              </w:rPr>
            </w:pPr>
            <w:r>
              <w:rPr>
                <w:color w:val="000000"/>
                <w:kern w:val="0"/>
                <w:sz w:val="20"/>
              </w:rPr>
              <w:t>Number of UEs per cell</w:t>
            </w:r>
          </w:p>
        </w:tc>
        <w:tc>
          <w:tcPr>
            <w:tcW w:w="7967" w:type="dxa"/>
            <w:vAlign w:val="center"/>
          </w:tcPr>
          <w:p>
            <w:pPr>
              <w:widowControl w:val="0"/>
              <w:spacing w:before="120" w:after="120"/>
              <w:jc w:val="center"/>
              <w:textAlignment w:val="center"/>
              <w:rPr>
                <w:color w:val="000000"/>
                <w:kern w:val="0"/>
                <w:sz w:val="20"/>
              </w:rPr>
            </w:pPr>
            <w:r>
              <w:rPr>
                <w:color w:val="000000"/>
                <w:kern w:val="0"/>
                <w:sz w:val="20"/>
              </w:rPr>
              <w:t>up to 1</w:t>
            </w:r>
            <w:r>
              <w:rPr>
                <w:rFonts w:hint="eastAsia"/>
                <w:color w:val="000000"/>
                <w:kern w:val="0"/>
                <w:sz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vAlign w:val="center"/>
          </w:tcPr>
          <w:p>
            <w:pPr>
              <w:widowControl w:val="0"/>
              <w:spacing w:before="120" w:after="120"/>
              <w:jc w:val="center"/>
              <w:textAlignment w:val="center"/>
              <w:rPr>
                <w:color w:val="000000"/>
                <w:sz w:val="20"/>
              </w:rPr>
            </w:pPr>
            <w:r>
              <w:rPr>
                <w:color w:val="000000"/>
                <w:kern w:val="0"/>
                <w:sz w:val="20"/>
              </w:rPr>
              <w:t>Scheduling Algorithm</w:t>
            </w:r>
          </w:p>
        </w:tc>
        <w:tc>
          <w:tcPr>
            <w:tcW w:w="7967" w:type="dxa"/>
            <w:vAlign w:val="center"/>
          </w:tcPr>
          <w:p>
            <w:pPr>
              <w:widowControl w:val="0"/>
              <w:spacing w:before="120" w:after="120"/>
              <w:jc w:val="center"/>
              <w:textAlignment w:val="center"/>
              <w:rPr>
                <w:color w:val="000000"/>
                <w:kern w:val="0"/>
                <w:sz w:val="20"/>
              </w:rPr>
            </w:pPr>
            <w:r>
              <w:rPr>
                <w:color w:val="000000"/>
                <w:kern w:val="0"/>
                <w:sz w:val="20"/>
              </w:rPr>
              <w:t>MU-MIMO+ 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vAlign w:val="center"/>
          </w:tcPr>
          <w:p>
            <w:pPr>
              <w:widowControl w:val="0"/>
              <w:spacing w:before="120" w:after="120"/>
              <w:jc w:val="center"/>
              <w:textAlignment w:val="center"/>
              <w:rPr>
                <w:color w:val="000000"/>
                <w:sz w:val="20"/>
              </w:rPr>
            </w:pPr>
            <w:r>
              <w:rPr>
                <w:color w:val="000000"/>
                <w:kern w:val="0"/>
                <w:sz w:val="20"/>
              </w:rPr>
              <w:t>HARQ/repetition</w:t>
            </w:r>
          </w:p>
        </w:tc>
        <w:tc>
          <w:tcPr>
            <w:tcW w:w="7967" w:type="dxa"/>
            <w:vAlign w:val="center"/>
          </w:tcPr>
          <w:p>
            <w:pPr>
              <w:widowControl w:val="0"/>
              <w:spacing w:before="120" w:after="120"/>
              <w:jc w:val="center"/>
              <w:textAlignment w:val="center"/>
              <w:rPr>
                <w:color w:val="000000"/>
                <w:kern w:val="0"/>
                <w:sz w:val="20"/>
              </w:rPr>
            </w:pPr>
            <w:r>
              <w:rPr>
                <w:color w:val="000000"/>
                <w:kern w:val="0"/>
                <w:sz w:val="20"/>
              </w:rPr>
              <w:t>HARQ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vAlign w:val="center"/>
          </w:tcPr>
          <w:p>
            <w:pPr>
              <w:widowControl w:val="0"/>
              <w:spacing w:before="120" w:after="120"/>
              <w:jc w:val="center"/>
              <w:textAlignment w:val="center"/>
              <w:rPr>
                <w:color w:val="000000"/>
                <w:sz w:val="20"/>
              </w:rPr>
            </w:pPr>
            <w:r>
              <w:rPr>
                <w:color w:val="000000"/>
                <w:kern w:val="0"/>
                <w:sz w:val="20"/>
              </w:rPr>
              <w:t>Channel estimation</w:t>
            </w:r>
          </w:p>
        </w:tc>
        <w:tc>
          <w:tcPr>
            <w:tcW w:w="7967" w:type="dxa"/>
            <w:vAlign w:val="center"/>
          </w:tcPr>
          <w:p>
            <w:pPr>
              <w:widowControl w:val="0"/>
              <w:spacing w:before="120" w:after="120"/>
              <w:jc w:val="center"/>
              <w:textAlignment w:val="center"/>
              <w:rPr>
                <w:color w:val="000000"/>
                <w:kern w:val="0"/>
                <w:sz w:val="20"/>
              </w:rPr>
            </w:pPr>
            <w:r>
              <w:rPr>
                <w:color w:val="000000"/>
                <w:kern w:val="0"/>
                <w:sz w:val="20"/>
              </w:rPr>
              <w:t>Realist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vAlign w:val="center"/>
          </w:tcPr>
          <w:p>
            <w:pPr>
              <w:widowControl w:val="0"/>
              <w:spacing w:before="120" w:after="120"/>
              <w:jc w:val="center"/>
              <w:rPr>
                <w:color w:val="000000"/>
                <w:kern w:val="0"/>
                <w:sz w:val="20"/>
              </w:rPr>
            </w:pPr>
            <w:r>
              <w:rPr>
                <w:rFonts w:eastAsia="Arial"/>
                <w:sz w:val="20"/>
              </w:rPr>
              <w:t>Target BLER</w:t>
            </w:r>
          </w:p>
        </w:tc>
        <w:tc>
          <w:tcPr>
            <w:tcW w:w="7967" w:type="dxa"/>
            <w:vAlign w:val="center"/>
          </w:tcPr>
          <w:p>
            <w:pPr>
              <w:widowControl w:val="0"/>
              <w:spacing w:before="120" w:after="120"/>
              <w:jc w:val="center"/>
              <w:rPr>
                <w:rFonts w:eastAsia="Arial"/>
                <w:sz w:val="20"/>
              </w:rPr>
            </w:pPr>
            <w:r>
              <w:rPr>
                <w:rFonts w:eastAsia="Arial"/>
                <w:sz w:val="20"/>
              </w:rPr>
              <w:t>10% for first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154" w:type="dxa"/>
            <w:vAlign w:val="center"/>
          </w:tcPr>
          <w:p>
            <w:pPr>
              <w:pStyle w:val="83"/>
              <w:widowControl w:val="0"/>
              <w:spacing w:before="120" w:after="120"/>
              <w:jc w:val="center"/>
              <w:rPr>
                <w:rFonts w:ascii="Times New Roman" w:hAnsi="Times New Roman" w:cs="Times New Roman"/>
                <w:color w:val="000000"/>
                <w:kern w:val="0"/>
                <w:sz w:val="20"/>
              </w:rPr>
            </w:pPr>
            <w:r>
              <w:rPr>
                <w:rFonts w:ascii="Times New Roman" w:hAnsi="Times New Roman" w:eastAsia="宋体" w:cs="Times New Roman"/>
                <w:sz w:val="20"/>
                <w:szCs w:val="20"/>
              </w:rPr>
              <w:t>PHY processing delay</w:t>
            </w:r>
          </w:p>
        </w:tc>
        <w:tc>
          <w:tcPr>
            <w:tcW w:w="7967" w:type="dxa"/>
            <w:vAlign w:val="center"/>
          </w:tcPr>
          <w:p>
            <w:pPr>
              <w:pStyle w:val="83"/>
              <w:widowControl w:val="0"/>
              <w:spacing w:before="120" w:after="120"/>
              <w:jc w:val="center"/>
              <w:rPr>
                <w:rFonts w:ascii="Times New Roman" w:hAnsi="Times New Roman" w:eastAsia="宋体" w:cs="Times New Roman"/>
                <w:sz w:val="20"/>
                <w:szCs w:val="20"/>
              </w:rPr>
            </w:pPr>
            <w:r>
              <w:rPr>
                <w:rFonts w:ascii="Times New Roman" w:hAnsi="Times New Roman" w:eastAsia="宋体" w:cs="Times New Roman"/>
                <w:sz w:val="20"/>
                <w:szCs w:val="20"/>
              </w:rPr>
              <w:t>UE P</w:t>
            </w:r>
            <w:r>
              <w:rPr>
                <w:rFonts w:ascii="Times New Roman" w:hAnsi="Times New Roman" w:eastAsia="宋体" w:cs="Times New Roman"/>
                <w:sz w:val="20"/>
                <w:szCs w:val="20"/>
                <w:lang w:eastAsia="zh-CN"/>
              </w:rPr>
              <w:t>U</w:t>
            </w:r>
            <w:r>
              <w:rPr>
                <w:rFonts w:ascii="Times New Roman" w:hAnsi="Times New Roman" w:eastAsia="宋体" w:cs="Times New Roman"/>
                <w:sz w:val="20"/>
                <w:szCs w:val="20"/>
              </w:rPr>
              <w:t>SCH processing Capability #1</w:t>
            </w:r>
            <w:r>
              <w:rPr>
                <w:rFonts w:ascii="Times New Roman" w:hAnsi="Times New Roman" w:eastAsia="宋体" w:cs="Times New Roman"/>
                <w:sz w:val="20"/>
                <w:szCs w:val="20"/>
                <w:lang w:eastAsia="zh-CN"/>
              </w:rPr>
              <w:t>,N1=10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154" w:type="dxa"/>
            <w:vAlign w:val="center"/>
          </w:tcPr>
          <w:p>
            <w:pPr>
              <w:pStyle w:val="83"/>
              <w:widowControl w:val="0"/>
              <w:spacing w:before="120" w:after="120"/>
              <w:jc w:val="center"/>
              <w:rPr>
                <w:rFonts w:ascii="Times New Roman" w:hAnsi="Times New Roman" w:cs="Times New Roman"/>
                <w:color w:val="000000"/>
                <w:kern w:val="0"/>
                <w:sz w:val="20"/>
              </w:rPr>
            </w:pPr>
            <w:r>
              <w:rPr>
                <w:rFonts w:ascii="Times New Roman" w:hAnsi="Times New Roman" w:eastAsia="宋体" w:cs="Times New Roman"/>
                <w:sz w:val="20"/>
                <w:szCs w:val="20"/>
              </w:rPr>
              <w:t>PDCCH overhead</w:t>
            </w:r>
          </w:p>
        </w:tc>
        <w:tc>
          <w:tcPr>
            <w:tcW w:w="7967" w:type="dxa"/>
            <w:vAlign w:val="center"/>
          </w:tcPr>
          <w:p>
            <w:pPr>
              <w:pStyle w:val="83"/>
              <w:widowControl w:val="0"/>
              <w:spacing w:before="120" w:after="120"/>
              <w:jc w:val="center"/>
              <w:rPr>
                <w:rFonts w:ascii="Times New Roman" w:hAnsi="Times New Roman" w:eastAsia="宋体" w:cs="Times New Roman"/>
                <w:color w:val="000000"/>
                <w:kern w:val="0"/>
                <w:sz w:val="20"/>
                <w:szCs w:val="20"/>
                <w:lang w:eastAsia="zh-CN"/>
              </w:rPr>
            </w:pPr>
            <w:r>
              <w:rPr>
                <w:rFonts w:ascii="Times New Roman" w:hAnsi="Times New Roman" w:eastAsia="宋体" w:cs="Times New Roman"/>
                <w:color w:val="000000"/>
                <w:kern w:val="0"/>
                <w:sz w:val="20"/>
                <w:szCs w:val="20"/>
                <w:lang w:eastAsia="zh-CN"/>
              </w:rPr>
              <w:t>1/7(2symbols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154" w:type="dxa"/>
            <w:vAlign w:val="center"/>
          </w:tcPr>
          <w:p>
            <w:pPr>
              <w:pStyle w:val="83"/>
              <w:widowControl w:val="0"/>
              <w:spacing w:before="120" w:after="120"/>
              <w:jc w:val="center"/>
              <w:rPr>
                <w:rFonts w:ascii="Times New Roman" w:hAnsi="Times New Roman" w:cs="Times New Roman"/>
                <w:color w:val="000000"/>
                <w:kern w:val="0"/>
                <w:sz w:val="20"/>
              </w:rPr>
            </w:pPr>
            <w:r>
              <w:rPr>
                <w:rFonts w:ascii="Times New Roman" w:hAnsi="Times New Roman" w:eastAsia="宋体" w:cs="Times New Roman"/>
                <w:sz w:val="20"/>
                <w:szCs w:val="20"/>
              </w:rPr>
              <w:t>DMRS overhead</w:t>
            </w:r>
          </w:p>
        </w:tc>
        <w:tc>
          <w:tcPr>
            <w:tcW w:w="7967" w:type="dxa"/>
            <w:vAlign w:val="center"/>
          </w:tcPr>
          <w:p>
            <w:pPr>
              <w:pStyle w:val="83"/>
              <w:widowControl w:val="0"/>
              <w:spacing w:before="120" w:after="120"/>
              <w:jc w:val="center"/>
              <w:rPr>
                <w:rFonts w:ascii="Times New Roman" w:hAnsi="Times New Roman" w:eastAsia="宋体" w:cs="Times New Roman"/>
                <w:color w:val="000000"/>
                <w:kern w:val="0"/>
                <w:sz w:val="20"/>
                <w:lang w:eastAsia="zh-CN"/>
              </w:rPr>
            </w:pPr>
            <w:r>
              <w:rPr>
                <w:rFonts w:ascii="Times New Roman" w:hAnsi="Times New Roman" w:eastAsia="宋体" w:cs="Times New Roman"/>
                <w:color w:val="000000"/>
                <w:kern w:val="0"/>
                <w:sz w:val="20"/>
                <w:lang w:eastAsia="zh-CN"/>
              </w:rPr>
              <w:t>1 symbol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2154" w:type="dxa"/>
            <w:vAlign w:val="center"/>
          </w:tcPr>
          <w:p>
            <w:pPr>
              <w:widowControl w:val="0"/>
              <w:spacing w:before="120" w:after="120"/>
              <w:jc w:val="center"/>
              <w:textAlignment w:val="center"/>
              <w:rPr>
                <w:color w:val="000000"/>
                <w:sz w:val="20"/>
              </w:rPr>
            </w:pPr>
            <w:r>
              <w:rPr>
                <w:color w:val="000000"/>
                <w:kern w:val="0"/>
                <w:sz w:val="20"/>
              </w:rPr>
              <w:t>BS receiver</w:t>
            </w:r>
          </w:p>
        </w:tc>
        <w:tc>
          <w:tcPr>
            <w:tcW w:w="7967" w:type="dxa"/>
            <w:vAlign w:val="center"/>
          </w:tcPr>
          <w:p>
            <w:pPr>
              <w:widowControl w:val="0"/>
              <w:spacing w:before="120" w:after="120"/>
              <w:jc w:val="center"/>
              <w:textAlignment w:val="center"/>
              <w:rPr>
                <w:color w:val="000000"/>
                <w:kern w:val="0"/>
                <w:sz w:val="20"/>
              </w:rPr>
            </w:pPr>
            <w:r>
              <w:rPr>
                <w:color w:val="000000"/>
                <w:kern w:val="0"/>
                <w:sz w:val="20"/>
              </w:rPr>
              <w:t>MMSE-IRC</w:t>
            </w:r>
          </w:p>
        </w:tc>
      </w:tr>
    </w:tbl>
    <w:p>
      <w:pPr>
        <w:pStyle w:val="14"/>
        <w:spacing w:before="120" w:after="120" w:line="276" w:lineRule="auto"/>
        <w:jc w:val="center"/>
        <w:rPr>
          <w:rFonts w:ascii="Times New Roman" w:hAnsi="Times New Roman"/>
        </w:rPr>
      </w:pPr>
    </w:p>
    <w:p>
      <w:pPr>
        <w:pStyle w:val="14"/>
        <w:spacing w:before="120" w:after="120" w:line="276" w:lineRule="auto"/>
        <w:jc w:val="center"/>
        <w:rPr>
          <w:rFonts w:ascii="Times New Roman" w:hAnsi="Times New Roman" w:eastAsia="宋体"/>
        </w:rPr>
      </w:pPr>
      <w:r>
        <w:rPr>
          <w:rFonts w:ascii="Times New Roman" w:hAnsi="Times New Roman"/>
        </w:rPr>
        <w:t xml:space="preserve">Table </w:t>
      </w:r>
      <w:r>
        <w:rPr>
          <w:rFonts w:hint="eastAsia" w:ascii="Times New Roman" w:hAnsi="Times New Roman"/>
        </w:rPr>
        <w:t>A.</w:t>
      </w:r>
      <w:bookmarkEnd w:id="156"/>
      <w:r>
        <w:rPr>
          <w:rFonts w:hint="eastAsia" w:ascii="Times New Roman" w:hAnsi="Times New Roman"/>
        </w:rPr>
        <w:t>2</w:t>
      </w:r>
      <w:r>
        <w:rPr>
          <w:rFonts w:ascii="Times New Roman" w:hAnsi="Times New Roman" w:eastAsia="宋体"/>
        </w:rPr>
        <w:t xml:space="preserve"> Simulation assumption for FR1 UL</w:t>
      </w:r>
    </w:p>
    <w:bookmarkEnd w:id="157"/>
    <w:bookmarkEnd w:id="158"/>
    <w:tbl>
      <w:tblPr>
        <w:tblStyle w:val="28"/>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1"/>
        <w:gridCol w:w="7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widowControl w:val="0"/>
              <w:spacing w:before="120" w:after="120"/>
              <w:jc w:val="center"/>
              <w:rPr>
                <w:rFonts w:eastAsiaTheme="minorEastAsia"/>
                <w:b/>
                <w:sz w:val="20"/>
              </w:rPr>
            </w:pPr>
            <w:r>
              <w:rPr>
                <w:rFonts w:eastAsiaTheme="minorEastAsia"/>
                <w:b/>
                <w:sz w:val="20"/>
              </w:rPr>
              <w:t>Parameter</w:t>
            </w:r>
          </w:p>
        </w:tc>
        <w:tc>
          <w:tcPr>
            <w:tcW w:w="7763" w:type="dxa"/>
            <w:shd w:val="clear" w:color="auto" w:fill="auto"/>
            <w:vAlign w:val="center"/>
          </w:tcPr>
          <w:p>
            <w:pPr>
              <w:widowControl w:val="0"/>
              <w:spacing w:before="120" w:after="120"/>
              <w:jc w:val="center"/>
              <w:rPr>
                <w:rFonts w:eastAsiaTheme="minorEastAsia"/>
                <w:b/>
                <w:sz w:val="20"/>
              </w:rPr>
            </w:pPr>
            <w:r>
              <w:rPr>
                <w:rFonts w:eastAsiaTheme="minorEastAsia"/>
                <w:b/>
                <w:sz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widowControl w:val="0"/>
              <w:spacing w:before="120" w:after="120"/>
              <w:jc w:val="center"/>
              <w:rPr>
                <w:rFonts w:eastAsiaTheme="minorEastAsia"/>
                <w:sz w:val="20"/>
              </w:rPr>
            </w:pPr>
            <w:r>
              <w:rPr>
                <w:rFonts w:eastAsiaTheme="minorEastAsia"/>
                <w:sz w:val="20"/>
              </w:rPr>
              <w:t>Scenarios</w:t>
            </w:r>
          </w:p>
        </w:tc>
        <w:tc>
          <w:tcPr>
            <w:tcW w:w="7763" w:type="dxa"/>
            <w:shd w:val="clear" w:color="auto" w:fill="auto"/>
            <w:vAlign w:val="center"/>
          </w:tcPr>
          <w:p>
            <w:pPr>
              <w:widowControl w:val="0"/>
              <w:spacing w:before="120" w:after="120"/>
              <w:jc w:val="center"/>
              <w:rPr>
                <w:sz w:val="20"/>
              </w:rPr>
            </w:pPr>
            <w:r>
              <w:rPr>
                <w:rFonts w:eastAsiaTheme="minorEastAsia"/>
                <w:sz w:val="20"/>
              </w:rPr>
              <w:t>Scenario-1: Indoor Hotspot</w:t>
            </w:r>
          </w:p>
          <w:p>
            <w:pPr>
              <w:widowControl w:val="0"/>
              <w:spacing w:before="120" w:after="120"/>
              <w:jc w:val="center"/>
              <w:rPr>
                <w:rFonts w:eastAsiaTheme="minorEastAsia"/>
                <w:sz w:val="20"/>
              </w:rPr>
            </w:pPr>
            <w:r>
              <w:rPr>
                <w:rFonts w:eastAsiaTheme="minorEastAsia"/>
                <w:sz w:val="20"/>
              </w:rPr>
              <w:t>12 nodes in 50 m x 120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widowControl w:val="0"/>
              <w:spacing w:before="120" w:after="120"/>
              <w:jc w:val="center"/>
              <w:rPr>
                <w:rFonts w:eastAsiaTheme="minorEastAsia"/>
                <w:sz w:val="20"/>
              </w:rPr>
            </w:pPr>
            <w:r>
              <w:rPr>
                <w:rFonts w:eastAsiaTheme="minorEastAsia"/>
                <w:sz w:val="20"/>
              </w:rPr>
              <w:t>Carrier frequency</w:t>
            </w:r>
          </w:p>
        </w:tc>
        <w:tc>
          <w:tcPr>
            <w:tcW w:w="7763" w:type="dxa"/>
            <w:shd w:val="clear" w:color="auto" w:fill="auto"/>
            <w:vAlign w:val="center"/>
          </w:tcPr>
          <w:p>
            <w:pPr>
              <w:widowControl w:val="0"/>
              <w:spacing w:before="120" w:after="120"/>
              <w:jc w:val="center"/>
              <w:rPr>
                <w:sz w:val="20"/>
              </w:rPr>
            </w:pPr>
            <w:r>
              <w:rPr>
                <w:sz w:val="20"/>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widowControl w:val="0"/>
              <w:spacing w:before="120" w:after="120"/>
              <w:jc w:val="center"/>
              <w:rPr>
                <w:rFonts w:eastAsiaTheme="minorEastAsia"/>
                <w:sz w:val="20"/>
              </w:rPr>
            </w:pPr>
            <w:r>
              <w:rPr>
                <w:rFonts w:eastAsiaTheme="minorEastAsia"/>
                <w:sz w:val="20"/>
              </w:rPr>
              <w:t>Bandwidth</w:t>
            </w:r>
          </w:p>
        </w:tc>
        <w:tc>
          <w:tcPr>
            <w:tcW w:w="7763" w:type="dxa"/>
            <w:shd w:val="clear" w:color="auto" w:fill="auto"/>
            <w:vAlign w:val="center"/>
          </w:tcPr>
          <w:p>
            <w:pPr>
              <w:widowControl w:val="0"/>
              <w:spacing w:before="120" w:after="120"/>
              <w:jc w:val="center"/>
              <w:rPr>
                <w:sz w:val="20"/>
              </w:rPr>
            </w:pPr>
            <w:r>
              <w:rPr>
                <w:sz w:val="20"/>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widowControl w:val="0"/>
              <w:spacing w:before="120" w:after="120"/>
              <w:jc w:val="center"/>
              <w:rPr>
                <w:rFonts w:eastAsiaTheme="minorEastAsia"/>
                <w:sz w:val="20"/>
              </w:rPr>
            </w:pPr>
            <w:r>
              <w:rPr>
                <w:rFonts w:eastAsiaTheme="minorEastAsia"/>
                <w:sz w:val="20"/>
              </w:rPr>
              <w:t>Subcarrier spacing</w:t>
            </w:r>
          </w:p>
        </w:tc>
        <w:tc>
          <w:tcPr>
            <w:tcW w:w="7763" w:type="dxa"/>
            <w:shd w:val="clear" w:color="auto" w:fill="auto"/>
            <w:vAlign w:val="center"/>
          </w:tcPr>
          <w:p>
            <w:pPr>
              <w:widowControl w:val="0"/>
              <w:spacing w:before="120" w:after="120"/>
              <w:jc w:val="center"/>
              <w:rPr>
                <w:rFonts w:eastAsiaTheme="minorEastAsia"/>
                <w:sz w:val="20"/>
              </w:rPr>
            </w:pPr>
            <w:r>
              <w:rPr>
                <w:rFonts w:eastAsiaTheme="minorEastAsia"/>
                <w:sz w:val="20"/>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widowControl w:val="0"/>
              <w:spacing w:before="120" w:after="120"/>
              <w:jc w:val="center"/>
              <w:rPr>
                <w:rFonts w:eastAsiaTheme="minorEastAsia"/>
                <w:sz w:val="20"/>
              </w:rPr>
            </w:pPr>
            <w:r>
              <w:rPr>
                <w:rFonts w:eastAsiaTheme="minorEastAsia"/>
                <w:sz w:val="20"/>
              </w:rPr>
              <w:t>Frame structure</w:t>
            </w:r>
          </w:p>
        </w:tc>
        <w:tc>
          <w:tcPr>
            <w:tcW w:w="7763" w:type="dxa"/>
            <w:shd w:val="clear" w:color="auto" w:fill="auto"/>
            <w:vAlign w:val="center"/>
          </w:tcPr>
          <w:p>
            <w:pPr>
              <w:widowControl w:val="0"/>
              <w:spacing w:before="120" w:after="120"/>
              <w:jc w:val="center"/>
              <w:rPr>
                <w:rFonts w:eastAsiaTheme="minorEastAsia"/>
                <w:sz w:val="20"/>
              </w:rPr>
            </w:pPr>
            <w:r>
              <w:rPr>
                <w:rFonts w:eastAsiaTheme="minorEastAsia"/>
                <w:sz w:val="20"/>
              </w:rPr>
              <w:t>DDDSU (S: 10D:2G:2U)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widowControl w:val="0"/>
              <w:spacing w:before="120" w:after="120"/>
              <w:jc w:val="center"/>
              <w:rPr>
                <w:rFonts w:eastAsiaTheme="minorEastAsia"/>
                <w:sz w:val="20"/>
              </w:rPr>
            </w:pPr>
            <w:r>
              <w:rPr>
                <w:rFonts w:eastAsiaTheme="minorEastAsia"/>
                <w:sz w:val="20"/>
              </w:rPr>
              <w:t>BS Antennas</w:t>
            </w:r>
          </w:p>
          <w:p>
            <w:pPr>
              <w:widowControl w:val="0"/>
              <w:spacing w:before="120" w:after="120"/>
              <w:jc w:val="center"/>
              <w:rPr>
                <w:rFonts w:eastAsiaTheme="minorEastAsia"/>
                <w:sz w:val="20"/>
              </w:rPr>
            </w:pPr>
            <w:r>
              <w:rPr>
                <w:rFonts w:eastAsiaTheme="minorEastAsia"/>
                <w:sz w:val="20"/>
              </w:rPr>
              <w:t>(M,N,P,Mg,Ng;Mp,Np)</w:t>
            </w:r>
          </w:p>
        </w:tc>
        <w:tc>
          <w:tcPr>
            <w:tcW w:w="7763" w:type="dxa"/>
            <w:shd w:val="clear" w:color="auto" w:fill="auto"/>
            <w:vAlign w:val="center"/>
          </w:tcPr>
          <w:p>
            <w:pPr>
              <w:widowControl w:val="0"/>
              <w:spacing w:before="120" w:after="120"/>
              <w:jc w:val="center"/>
              <w:rPr>
                <w:rFonts w:eastAsiaTheme="minorEastAsia"/>
                <w:sz w:val="20"/>
              </w:rPr>
            </w:pPr>
            <w:r>
              <w:rPr>
                <w:rFonts w:eastAsiaTheme="minorEastAsia"/>
                <w:sz w:val="20"/>
              </w:rPr>
              <w:t>For 32R: (4,4,2,1,1;4,4)</w:t>
            </w:r>
          </w:p>
          <w:p>
            <w:pPr>
              <w:widowControl w:val="0"/>
              <w:spacing w:before="120" w:after="120"/>
              <w:jc w:val="center"/>
              <w:rPr>
                <w:sz w:val="20"/>
              </w:rPr>
            </w:pPr>
            <w:r>
              <w:rPr>
                <w:sz w:val="20"/>
              </w:rPr>
              <w:t>(dH,dV) = (0.5,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widowControl w:val="0"/>
              <w:spacing w:before="120" w:after="120"/>
              <w:jc w:val="center"/>
              <w:rPr>
                <w:rFonts w:eastAsiaTheme="minorEastAsia"/>
                <w:sz w:val="20"/>
              </w:rPr>
            </w:pPr>
            <w:r>
              <w:rPr>
                <w:rFonts w:eastAsiaTheme="minorEastAsia"/>
                <w:sz w:val="20"/>
              </w:rPr>
              <w:t>UE Antennas</w:t>
            </w:r>
          </w:p>
          <w:p>
            <w:pPr>
              <w:widowControl w:val="0"/>
              <w:spacing w:before="120" w:after="120"/>
              <w:jc w:val="center"/>
              <w:rPr>
                <w:rFonts w:eastAsiaTheme="minorEastAsia"/>
                <w:sz w:val="20"/>
              </w:rPr>
            </w:pPr>
            <w:r>
              <w:rPr>
                <w:rFonts w:eastAsiaTheme="minorEastAsia"/>
                <w:sz w:val="20"/>
              </w:rPr>
              <w:t>(M,N,P,Mg,Ng;Mp,Np)</w:t>
            </w:r>
          </w:p>
        </w:tc>
        <w:tc>
          <w:tcPr>
            <w:tcW w:w="7763" w:type="dxa"/>
            <w:shd w:val="clear" w:color="auto" w:fill="auto"/>
            <w:vAlign w:val="center"/>
          </w:tcPr>
          <w:p>
            <w:pPr>
              <w:widowControl w:val="0"/>
              <w:spacing w:before="120" w:after="120"/>
              <w:jc w:val="center"/>
              <w:rPr>
                <w:rFonts w:eastAsiaTheme="minorEastAsia"/>
                <w:sz w:val="20"/>
              </w:rPr>
            </w:pPr>
            <w:r>
              <w:rPr>
                <w:rFonts w:eastAsiaTheme="minorEastAsia"/>
                <w:sz w:val="20"/>
              </w:rPr>
              <w:t>For 2T: (1,1,2,1,1;1,1)</w:t>
            </w:r>
          </w:p>
          <w:p>
            <w:pPr>
              <w:widowControl w:val="0"/>
              <w:spacing w:before="120" w:after="120"/>
              <w:jc w:val="center"/>
              <w:rPr>
                <w:rFonts w:eastAsiaTheme="minorEastAsia"/>
                <w:sz w:val="20"/>
              </w:rPr>
            </w:pPr>
            <w:r>
              <w:rPr>
                <w:rFonts w:eastAsiaTheme="minorEastAsia"/>
                <w:sz w:val="20"/>
              </w:rPr>
              <w:t>(dH, dV)=( 0.5, N/A)λ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widowControl w:val="0"/>
              <w:spacing w:before="120" w:after="120"/>
              <w:jc w:val="center"/>
              <w:rPr>
                <w:rFonts w:eastAsiaTheme="minorEastAsia"/>
                <w:sz w:val="20"/>
              </w:rPr>
            </w:pPr>
            <w:r>
              <w:rPr>
                <w:rFonts w:eastAsiaTheme="minorEastAsia"/>
                <w:sz w:val="20"/>
              </w:rPr>
              <w:t>BS antenna pattern</w:t>
            </w:r>
          </w:p>
        </w:tc>
        <w:tc>
          <w:tcPr>
            <w:tcW w:w="7763" w:type="dxa"/>
            <w:shd w:val="clear" w:color="auto" w:fill="auto"/>
            <w:vAlign w:val="center"/>
          </w:tcPr>
          <w:p>
            <w:pPr>
              <w:widowControl w:val="0"/>
              <w:spacing w:before="120" w:after="120"/>
              <w:jc w:val="center"/>
              <w:rPr>
                <w:rFonts w:eastAsiaTheme="minorEastAsia"/>
                <w:sz w:val="20"/>
              </w:rPr>
            </w:pPr>
            <w:r>
              <w:rPr>
                <w:rFonts w:eastAsiaTheme="minorEastAsia"/>
                <w:sz w:val="20"/>
              </w:rPr>
              <w:t>Ceiling-mount pattern, 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widowControl w:val="0"/>
              <w:spacing w:before="120" w:after="120"/>
              <w:jc w:val="center"/>
              <w:rPr>
                <w:rFonts w:eastAsiaTheme="minorEastAsia"/>
                <w:sz w:val="20"/>
              </w:rPr>
            </w:pPr>
            <w:r>
              <w:rPr>
                <w:rFonts w:eastAsiaTheme="minorEastAsia"/>
                <w:sz w:val="20"/>
              </w:rPr>
              <w:t>UE antenna pattern</w:t>
            </w:r>
          </w:p>
        </w:tc>
        <w:tc>
          <w:tcPr>
            <w:tcW w:w="7763" w:type="dxa"/>
            <w:shd w:val="clear" w:color="auto" w:fill="auto"/>
            <w:vAlign w:val="center"/>
          </w:tcPr>
          <w:p>
            <w:pPr>
              <w:widowControl w:val="0"/>
              <w:spacing w:before="120" w:after="120"/>
              <w:jc w:val="center"/>
              <w:rPr>
                <w:rFonts w:eastAsiaTheme="minorEastAsia"/>
                <w:sz w:val="20"/>
              </w:rPr>
            </w:pPr>
            <w:r>
              <w:rPr>
                <w:rFonts w:eastAsiaTheme="minorEastAsia"/>
                <w:sz w:val="20"/>
              </w:rPr>
              <w:t>Omnidirectional, 0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widowControl w:val="0"/>
              <w:spacing w:before="120" w:after="120"/>
              <w:jc w:val="center"/>
              <w:rPr>
                <w:rFonts w:eastAsiaTheme="minorEastAsia"/>
                <w:sz w:val="20"/>
              </w:rPr>
            </w:pPr>
            <w:r>
              <w:rPr>
                <w:rFonts w:eastAsiaTheme="minorEastAsia"/>
                <w:sz w:val="20"/>
              </w:rPr>
              <w:t>UE max Power</w:t>
            </w:r>
          </w:p>
        </w:tc>
        <w:tc>
          <w:tcPr>
            <w:tcW w:w="7763" w:type="dxa"/>
            <w:shd w:val="clear" w:color="auto" w:fill="auto"/>
            <w:vAlign w:val="center"/>
          </w:tcPr>
          <w:p>
            <w:pPr>
              <w:widowControl w:val="0"/>
              <w:spacing w:before="120" w:after="120"/>
              <w:jc w:val="center"/>
              <w:rPr>
                <w:rFonts w:eastAsiaTheme="minorEastAsia"/>
                <w:sz w:val="20"/>
              </w:rPr>
            </w:pPr>
            <w:r>
              <w:rPr>
                <w:rFonts w:eastAsiaTheme="minorEastAsia"/>
                <w:sz w:val="20"/>
              </w:rPr>
              <w:t>23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widowControl w:val="0"/>
              <w:spacing w:before="120" w:after="120"/>
              <w:jc w:val="center"/>
              <w:rPr>
                <w:rFonts w:eastAsiaTheme="minorEastAsia"/>
                <w:sz w:val="20"/>
              </w:rPr>
            </w:pPr>
            <w:r>
              <w:rPr>
                <w:rFonts w:eastAsiaTheme="minorEastAsia"/>
                <w:sz w:val="20"/>
              </w:rPr>
              <w:t>Power control</w:t>
            </w:r>
          </w:p>
        </w:tc>
        <w:tc>
          <w:tcPr>
            <w:tcW w:w="7763" w:type="dxa"/>
            <w:shd w:val="clear" w:color="auto" w:fill="auto"/>
            <w:vAlign w:val="center"/>
          </w:tcPr>
          <w:p>
            <w:pPr>
              <w:widowControl w:val="0"/>
              <w:spacing w:before="120" w:after="120"/>
              <w:jc w:val="center"/>
              <w:rPr>
                <w:rFonts w:eastAsiaTheme="minorEastAsia"/>
                <w:sz w:val="20"/>
              </w:rPr>
            </w:pPr>
            <w:bookmarkStart w:id="159" w:name="OLE_LINK4"/>
            <w:bookmarkStart w:id="160" w:name="OLE_LINK6"/>
            <w:r>
              <w:rPr>
                <w:rFonts w:eastAsiaTheme="minorEastAsia"/>
                <w:sz w:val="20"/>
              </w:rPr>
              <w:t>P0 = -80 dBm, alpha = 0.8</w:t>
            </w:r>
            <w:bookmarkEnd w:id="159"/>
            <w:bookmarkEnd w:id="16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widowControl w:val="0"/>
              <w:spacing w:before="120" w:after="120"/>
              <w:jc w:val="center"/>
              <w:rPr>
                <w:rFonts w:eastAsiaTheme="minorEastAsia"/>
                <w:sz w:val="20"/>
              </w:rPr>
            </w:pPr>
            <w:r>
              <w:rPr>
                <w:rFonts w:eastAsiaTheme="minorEastAsia"/>
                <w:sz w:val="20"/>
              </w:rPr>
              <w:t>Noise Figure</w:t>
            </w:r>
          </w:p>
        </w:tc>
        <w:tc>
          <w:tcPr>
            <w:tcW w:w="7763" w:type="dxa"/>
            <w:shd w:val="clear" w:color="auto" w:fill="auto"/>
            <w:vAlign w:val="center"/>
          </w:tcPr>
          <w:p>
            <w:pPr>
              <w:widowControl w:val="0"/>
              <w:spacing w:before="120" w:after="120"/>
              <w:jc w:val="center"/>
              <w:rPr>
                <w:color w:val="000000"/>
                <w:kern w:val="0"/>
                <w:sz w:val="20"/>
              </w:rPr>
            </w:pPr>
            <w:r>
              <w:rPr>
                <w:color w:val="000000"/>
                <w:kern w:val="0"/>
                <w:sz w:val="20"/>
              </w:rPr>
              <w:t>5dB for BS and 9dB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widowControl w:val="0"/>
              <w:spacing w:before="120" w:after="120"/>
              <w:jc w:val="center"/>
              <w:rPr>
                <w:rFonts w:eastAsiaTheme="minorEastAsia"/>
                <w:sz w:val="20"/>
              </w:rPr>
            </w:pPr>
            <w:r>
              <w:rPr>
                <w:rFonts w:eastAsiaTheme="minorEastAsia"/>
                <w:sz w:val="20"/>
              </w:rPr>
              <w:t>Scheduler</w:t>
            </w:r>
          </w:p>
        </w:tc>
        <w:tc>
          <w:tcPr>
            <w:tcW w:w="7763" w:type="dxa"/>
            <w:shd w:val="clear" w:color="auto" w:fill="auto"/>
            <w:vAlign w:val="center"/>
          </w:tcPr>
          <w:p>
            <w:pPr>
              <w:widowControl w:val="0"/>
              <w:spacing w:before="120" w:after="120"/>
              <w:jc w:val="center"/>
              <w:rPr>
                <w:rFonts w:eastAsiaTheme="minorEastAsia"/>
                <w:sz w:val="20"/>
              </w:rPr>
            </w:pPr>
            <w:r>
              <w:rPr>
                <w:rFonts w:eastAsiaTheme="minorEastAsia"/>
                <w:sz w:val="20"/>
              </w:rPr>
              <w:t>MU-MIMO+PF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111" w:type="dxa"/>
            <w:shd w:val="clear" w:color="auto" w:fill="auto"/>
            <w:vAlign w:val="center"/>
          </w:tcPr>
          <w:p>
            <w:pPr>
              <w:widowControl w:val="0"/>
              <w:spacing w:before="120" w:after="120"/>
              <w:jc w:val="center"/>
              <w:rPr>
                <w:rFonts w:eastAsiaTheme="minorEastAsia"/>
                <w:sz w:val="20"/>
              </w:rPr>
            </w:pPr>
            <w:r>
              <w:rPr>
                <w:rFonts w:eastAsiaTheme="minorEastAsia"/>
                <w:sz w:val="20"/>
              </w:rPr>
              <w:t>Device deployment</w:t>
            </w:r>
          </w:p>
        </w:tc>
        <w:tc>
          <w:tcPr>
            <w:tcW w:w="7763" w:type="dxa"/>
            <w:shd w:val="clear" w:color="auto" w:fill="auto"/>
            <w:vAlign w:val="center"/>
          </w:tcPr>
          <w:p>
            <w:pPr>
              <w:widowControl w:val="0"/>
              <w:spacing w:before="120" w:after="120"/>
              <w:jc w:val="center"/>
              <w:rPr>
                <w:rFonts w:eastAsiaTheme="minorEastAsia"/>
                <w:sz w:val="20"/>
              </w:rPr>
            </w:pPr>
            <w:r>
              <w:rPr>
                <w:rFonts w:eastAsiaTheme="minorEastAsia"/>
                <w:sz w:val="20"/>
              </w:rPr>
              <w:t>100% 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widowControl w:val="0"/>
              <w:spacing w:before="120" w:after="120"/>
              <w:jc w:val="center"/>
              <w:rPr>
                <w:rFonts w:eastAsiaTheme="minorEastAsia"/>
                <w:sz w:val="20"/>
              </w:rPr>
            </w:pPr>
            <w:r>
              <w:rPr>
                <w:rFonts w:eastAsiaTheme="minorEastAsia"/>
                <w:sz w:val="20"/>
              </w:rPr>
              <w:t>Down-tilt</w:t>
            </w:r>
          </w:p>
        </w:tc>
        <w:tc>
          <w:tcPr>
            <w:tcW w:w="7763" w:type="dxa"/>
            <w:shd w:val="clear" w:color="auto" w:fill="auto"/>
            <w:vAlign w:val="center"/>
          </w:tcPr>
          <w:p>
            <w:pPr>
              <w:widowControl w:val="0"/>
              <w:spacing w:before="120" w:after="120"/>
              <w:jc w:val="center"/>
              <w:rPr>
                <w:rFonts w:eastAsiaTheme="minorEastAsia"/>
                <w:sz w:val="20"/>
              </w:rPr>
            </w:pPr>
            <w:r>
              <w:rPr>
                <w:rFonts w:eastAsiaTheme="minorEastAsia"/>
                <w:sz w:val="20"/>
              </w:rPr>
              <w:t>90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widowControl w:val="0"/>
              <w:spacing w:before="120" w:after="120"/>
              <w:jc w:val="center"/>
              <w:rPr>
                <w:rFonts w:eastAsiaTheme="minorEastAsia"/>
                <w:sz w:val="20"/>
              </w:rPr>
            </w:pPr>
            <w:r>
              <w:rPr>
                <w:color w:val="000000"/>
                <w:sz w:val="20"/>
              </w:rPr>
              <w:t>BS receiver</w:t>
            </w:r>
          </w:p>
        </w:tc>
        <w:tc>
          <w:tcPr>
            <w:tcW w:w="7763" w:type="dxa"/>
            <w:shd w:val="clear" w:color="auto" w:fill="auto"/>
            <w:vAlign w:val="center"/>
          </w:tcPr>
          <w:p>
            <w:pPr>
              <w:widowControl w:val="0"/>
              <w:spacing w:before="120" w:after="120"/>
              <w:jc w:val="center"/>
              <w:rPr>
                <w:color w:val="000000"/>
                <w:sz w:val="20"/>
              </w:rPr>
            </w:pPr>
            <w:r>
              <w:rPr>
                <w:color w:val="000000"/>
                <w:sz w:val="20"/>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widowControl w:val="0"/>
              <w:spacing w:before="120" w:after="120"/>
              <w:jc w:val="center"/>
              <w:rPr>
                <w:color w:val="000000"/>
                <w:sz w:val="20"/>
              </w:rPr>
            </w:pPr>
            <w:r>
              <w:rPr>
                <w:color w:val="000000"/>
                <w:sz w:val="20"/>
              </w:rPr>
              <w:t>UE receiver</w:t>
            </w:r>
          </w:p>
        </w:tc>
        <w:tc>
          <w:tcPr>
            <w:tcW w:w="7763" w:type="dxa"/>
            <w:shd w:val="clear" w:color="auto" w:fill="auto"/>
            <w:vAlign w:val="center"/>
          </w:tcPr>
          <w:p>
            <w:pPr>
              <w:widowControl w:val="0"/>
              <w:spacing w:before="120" w:after="120"/>
              <w:jc w:val="center"/>
              <w:rPr>
                <w:color w:val="000000"/>
                <w:sz w:val="20"/>
              </w:rPr>
            </w:pPr>
            <w:r>
              <w:rPr>
                <w:color w:val="000000"/>
                <w:sz w:val="20"/>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widowControl w:val="0"/>
              <w:spacing w:before="120" w:after="120"/>
              <w:jc w:val="center"/>
              <w:rPr>
                <w:color w:val="000000"/>
                <w:sz w:val="20"/>
              </w:rPr>
            </w:pPr>
            <w:r>
              <w:rPr>
                <w:color w:val="000000"/>
                <w:sz w:val="20"/>
              </w:rPr>
              <w:t>Channel estimation</w:t>
            </w:r>
          </w:p>
        </w:tc>
        <w:tc>
          <w:tcPr>
            <w:tcW w:w="7763" w:type="dxa"/>
            <w:shd w:val="clear" w:color="auto" w:fill="auto"/>
            <w:vAlign w:val="center"/>
          </w:tcPr>
          <w:p>
            <w:pPr>
              <w:widowControl w:val="0"/>
              <w:spacing w:before="120" w:after="120"/>
              <w:jc w:val="center"/>
              <w:rPr>
                <w:color w:val="000000"/>
                <w:sz w:val="20"/>
              </w:rPr>
            </w:pPr>
            <w:r>
              <w:rPr>
                <w:color w:val="000000"/>
                <w:sz w:val="20"/>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widowControl w:val="0"/>
              <w:spacing w:before="120" w:after="120"/>
              <w:jc w:val="center"/>
              <w:rPr>
                <w:color w:val="000000"/>
                <w:sz w:val="20"/>
              </w:rPr>
            </w:pPr>
            <w:r>
              <w:rPr>
                <w:rFonts w:eastAsia="Arial"/>
                <w:sz w:val="20"/>
              </w:rPr>
              <w:t>Target BLER</w:t>
            </w:r>
          </w:p>
        </w:tc>
        <w:tc>
          <w:tcPr>
            <w:tcW w:w="7763" w:type="dxa"/>
            <w:shd w:val="clear" w:color="auto" w:fill="auto"/>
            <w:vAlign w:val="center"/>
          </w:tcPr>
          <w:p>
            <w:pPr>
              <w:widowControl w:val="0"/>
              <w:spacing w:before="120" w:after="120"/>
              <w:jc w:val="center"/>
              <w:rPr>
                <w:rFonts w:eastAsia="Arial"/>
                <w:sz w:val="20"/>
              </w:rPr>
            </w:pPr>
            <w:r>
              <w:rPr>
                <w:rFonts w:eastAsia="Arial"/>
                <w:sz w:val="20"/>
              </w:rPr>
              <w:t>10% for first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widowControl w:val="0"/>
              <w:spacing w:before="120" w:after="120"/>
              <w:jc w:val="center"/>
              <w:rPr>
                <w:color w:val="000000"/>
                <w:sz w:val="20"/>
              </w:rPr>
            </w:pPr>
            <w:r>
              <w:rPr>
                <w:rFonts w:eastAsiaTheme="minorEastAsia"/>
                <w:sz w:val="20"/>
              </w:rPr>
              <w:t>UE speed</w:t>
            </w:r>
          </w:p>
        </w:tc>
        <w:tc>
          <w:tcPr>
            <w:tcW w:w="7763" w:type="dxa"/>
            <w:shd w:val="clear" w:color="auto" w:fill="auto"/>
            <w:vAlign w:val="center"/>
          </w:tcPr>
          <w:p>
            <w:pPr>
              <w:widowControl w:val="0"/>
              <w:spacing w:before="120" w:after="120"/>
              <w:jc w:val="center"/>
              <w:rPr>
                <w:rFonts w:eastAsiaTheme="minorEastAsia"/>
                <w:sz w:val="20"/>
              </w:rPr>
            </w:pPr>
            <w:r>
              <w:rPr>
                <w:rFonts w:eastAsiaTheme="minorEastAsia"/>
                <w:sz w:val="20"/>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widowControl w:val="0"/>
              <w:spacing w:before="120" w:after="120"/>
              <w:jc w:val="center"/>
              <w:textAlignment w:val="center"/>
              <w:rPr>
                <w:rFonts w:eastAsiaTheme="minorEastAsia"/>
                <w:sz w:val="20"/>
              </w:rPr>
            </w:pPr>
            <w:r>
              <w:rPr>
                <w:color w:val="000000"/>
                <w:kern w:val="0"/>
                <w:sz w:val="20"/>
              </w:rPr>
              <w:t>HARQ/repetition</w:t>
            </w:r>
          </w:p>
        </w:tc>
        <w:tc>
          <w:tcPr>
            <w:tcW w:w="7763" w:type="dxa"/>
            <w:shd w:val="clear" w:color="auto" w:fill="auto"/>
            <w:vAlign w:val="center"/>
          </w:tcPr>
          <w:p>
            <w:pPr>
              <w:widowControl w:val="0"/>
              <w:spacing w:before="120" w:after="120"/>
              <w:jc w:val="center"/>
              <w:textAlignment w:val="center"/>
              <w:rPr>
                <w:color w:val="000000"/>
                <w:kern w:val="0"/>
                <w:sz w:val="20"/>
              </w:rPr>
            </w:pPr>
            <w:r>
              <w:rPr>
                <w:color w:val="000000"/>
                <w:kern w:val="0"/>
                <w:sz w:val="20"/>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pStyle w:val="83"/>
              <w:widowControl w:val="0"/>
              <w:spacing w:before="120" w:after="120"/>
              <w:jc w:val="center"/>
              <w:rPr>
                <w:rFonts w:ascii="Times New Roman" w:hAnsi="Times New Roman" w:cs="Times New Roman" w:eastAsiaTheme="minorEastAsia"/>
                <w:sz w:val="20"/>
                <w:szCs w:val="20"/>
                <w:lang w:eastAsia="zh-CN"/>
              </w:rPr>
            </w:pPr>
            <w:r>
              <w:rPr>
                <w:rFonts w:ascii="Times New Roman" w:hAnsi="Times New Roman" w:eastAsia="宋体" w:cs="Times New Roman"/>
                <w:sz w:val="20"/>
                <w:szCs w:val="20"/>
              </w:rPr>
              <w:t>PHY processing delay</w:t>
            </w:r>
          </w:p>
        </w:tc>
        <w:tc>
          <w:tcPr>
            <w:tcW w:w="7763" w:type="dxa"/>
            <w:shd w:val="clear" w:color="auto" w:fill="auto"/>
            <w:vAlign w:val="center"/>
          </w:tcPr>
          <w:p>
            <w:pPr>
              <w:pStyle w:val="83"/>
              <w:widowControl w:val="0"/>
              <w:spacing w:before="120" w:after="120"/>
              <w:jc w:val="center"/>
              <w:rPr>
                <w:rFonts w:ascii="Times New Roman" w:hAnsi="Times New Roman" w:eastAsia="宋体" w:cs="Times New Roman"/>
                <w:sz w:val="20"/>
                <w:szCs w:val="20"/>
              </w:rPr>
            </w:pPr>
            <w:r>
              <w:rPr>
                <w:rFonts w:ascii="Times New Roman" w:hAnsi="Times New Roman" w:eastAsia="宋体" w:cs="Times New Roman"/>
                <w:sz w:val="20"/>
                <w:szCs w:val="20"/>
              </w:rPr>
              <w:t>UE P</w:t>
            </w:r>
            <w:r>
              <w:rPr>
                <w:rFonts w:ascii="Times New Roman" w:hAnsi="Times New Roman" w:eastAsia="宋体" w:cs="Times New Roman"/>
                <w:sz w:val="20"/>
                <w:szCs w:val="20"/>
                <w:lang w:eastAsia="zh-CN"/>
              </w:rPr>
              <w:t>U</w:t>
            </w:r>
            <w:r>
              <w:rPr>
                <w:rFonts w:ascii="Times New Roman" w:hAnsi="Times New Roman" w:eastAsia="宋体" w:cs="Times New Roman"/>
                <w:sz w:val="20"/>
                <w:szCs w:val="20"/>
              </w:rPr>
              <w:t>SCH processing Capability #1</w:t>
            </w:r>
            <w:r>
              <w:rPr>
                <w:rFonts w:ascii="Times New Roman" w:hAnsi="Times New Roman" w:eastAsia="宋体" w:cs="Times New Roman"/>
                <w:sz w:val="20"/>
                <w:szCs w:val="20"/>
                <w:lang w:eastAsia="zh-CN"/>
              </w:rPr>
              <w:t>,N2=12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pStyle w:val="83"/>
              <w:widowControl w:val="0"/>
              <w:spacing w:before="120" w:after="120"/>
              <w:jc w:val="center"/>
              <w:rPr>
                <w:rFonts w:ascii="Times New Roman" w:hAnsi="Times New Roman" w:cs="Times New Roman" w:eastAsiaTheme="minorEastAsia"/>
                <w:sz w:val="20"/>
                <w:szCs w:val="20"/>
                <w:lang w:eastAsia="zh-CN"/>
              </w:rPr>
            </w:pPr>
            <w:r>
              <w:rPr>
                <w:rFonts w:ascii="Times New Roman" w:hAnsi="Times New Roman" w:eastAsia="宋体" w:cs="Times New Roman"/>
                <w:sz w:val="20"/>
                <w:szCs w:val="20"/>
                <w:lang w:eastAsia="zh-CN"/>
              </w:rPr>
              <w:t>DMRS</w:t>
            </w:r>
            <w:r>
              <w:rPr>
                <w:rFonts w:ascii="Times New Roman" w:hAnsi="Times New Roman" w:eastAsia="宋体" w:cs="Times New Roman"/>
                <w:sz w:val="20"/>
                <w:szCs w:val="20"/>
              </w:rPr>
              <w:t xml:space="preserve"> overhead</w:t>
            </w:r>
          </w:p>
        </w:tc>
        <w:tc>
          <w:tcPr>
            <w:tcW w:w="7763" w:type="dxa"/>
            <w:shd w:val="clear" w:color="auto" w:fill="auto"/>
            <w:vAlign w:val="center"/>
          </w:tcPr>
          <w:p>
            <w:pPr>
              <w:pStyle w:val="83"/>
              <w:widowControl w:val="0"/>
              <w:spacing w:before="120" w:after="120"/>
              <w:jc w:val="center"/>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4RE</w:t>
            </w:r>
          </w:p>
        </w:tc>
      </w:tr>
    </w:tbl>
    <w:p>
      <w:pPr>
        <w:spacing w:before="120" w:after="120"/>
      </w:pPr>
    </w:p>
    <w:p>
      <w:pPr>
        <w:spacing w:before="120" w:after="120"/>
        <w:ind w:firstLine="420" w:firstLineChars="200"/>
        <w:jc w:val="left"/>
      </w:pPr>
    </w:p>
    <w:p>
      <w:pPr>
        <w:pStyle w:val="3"/>
        <w:numPr>
          <w:ilvl w:val="0"/>
          <w:numId w:val="0"/>
        </w:numPr>
        <w:spacing w:before="120" w:after="120"/>
        <w:ind w:right="210"/>
        <w:rPr>
          <w:rFonts w:eastAsia="宋体"/>
        </w:rPr>
      </w:pPr>
      <w:r>
        <w:rPr>
          <w:rFonts w:hint="eastAsia" w:eastAsia="宋体"/>
        </w:rPr>
        <w:t>B P</w:t>
      </w:r>
      <w:r>
        <w:rPr>
          <w:rFonts w:eastAsia="宋体"/>
        </w:rPr>
        <w:t>ower model</w:t>
      </w:r>
    </w:p>
    <w:p>
      <w:pPr>
        <w:spacing w:before="120" w:after="120"/>
        <w:jc w:val="center"/>
      </w:pPr>
      <w:r>
        <w:t>Table B</w:t>
      </w:r>
      <w:r>
        <w:rPr>
          <w:rFonts w:hint="eastAsia"/>
        </w:rPr>
        <w:t>.</w:t>
      </w:r>
      <w:r>
        <w:t>1 Power model for DL</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9"/>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widowControl w:val="0"/>
              <w:spacing w:before="0" w:beforeLines="0" w:after="0" w:afterLines="0"/>
              <w:jc w:val="center"/>
              <w:rPr>
                <w:sz w:val="18"/>
                <w:szCs w:val="18"/>
              </w:rPr>
            </w:pPr>
            <w:r>
              <w:rPr>
                <w:sz w:val="18"/>
                <w:szCs w:val="18"/>
              </w:rPr>
              <w:t>Power state</w:t>
            </w:r>
          </w:p>
        </w:tc>
        <w:tc>
          <w:tcPr>
            <w:tcW w:w="2469" w:type="dxa"/>
            <w:tcBorders>
              <w:top w:val="single" w:color="auto" w:sz="4" w:space="0"/>
              <w:left w:val="single" w:color="auto" w:sz="4" w:space="0"/>
              <w:bottom w:val="single" w:color="auto" w:sz="4" w:space="0"/>
              <w:right w:val="single" w:color="auto" w:sz="4" w:space="0"/>
            </w:tcBorders>
          </w:tcPr>
          <w:p>
            <w:pPr>
              <w:widowControl w:val="0"/>
              <w:spacing w:before="0" w:beforeLines="0" w:after="0" w:afterLines="0"/>
              <w:jc w:val="center"/>
              <w:rPr>
                <w:sz w:val="18"/>
                <w:szCs w:val="18"/>
              </w:rPr>
            </w:pPr>
            <w:r>
              <w:rPr>
                <w:sz w:val="18"/>
                <w:szCs w:val="18"/>
              </w:rPr>
              <w:t>Relative Power(1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widowControl w:val="0"/>
              <w:spacing w:before="0" w:beforeLines="0" w:after="0" w:afterLines="0"/>
              <w:jc w:val="center"/>
              <w:rPr>
                <w:sz w:val="18"/>
                <w:szCs w:val="18"/>
              </w:rPr>
            </w:pPr>
            <w:r>
              <w:rPr>
                <w:sz w:val="18"/>
                <w:szCs w:val="18"/>
              </w:rPr>
              <w:t>PDCCH-only</w:t>
            </w:r>
          </w:p>
        </w:tc>
        <w:tc>
          <w:tcPr>
            <w:tcW w:w="2469" w:type="dxa"/>
            <w:tcBorders>
              <w:top w:val="single" w:color="auto" w:sz="4" w:space="0"/>
              <w:left w:val="single" w:color="auto" w:sz="4" w:space="0"/>
              <w:bottom w:val="single" w:color="auto" w:sz="4" w:space="0"/>
              <w:right w:val="single" w:color="auto" w:sz="4" w:space="0"/>
            </w:tcBorders>
          </w:tcPr>
          <w:p>
            <w:pPr>
              <w:widowControl w:val="0"/>
              <w:spacing w:before="0" w:beforeLines="0" w:after="0" w:afterLines="0"/>
              <w:jc w:val="center"/>
              <w:rPr>
                <w:sz w:val="18"/>
                <w:szCs w:val="18"/>
              </w:rPr>
            </w:pPr>
            <w:r>
              <w:rPr>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widowControl w:val="0"/>
              <w:spacing w:before="0" w:beforeLines="0" w:after="0" w:afterLines="0"/>
              <w:jc w:val="center"/>
              <w:rPr>
                <w:sz w:val="18"/>
                <w:szCs w:val="18"/>
              </w:rPr>
            </w:pPr>
            <w:r>
              <w:rPr>
                <w:sz w:val="18"/>
                <w:szCs w:val="18"/>
              </w:rPr>
              <w:t>PDCCH+PDSCH</w:t>
            </w:r>
          </w:p>
        </w:tc>
        <w:tc>
          <w:tcPr>
            <w:tcW w:w="2469" w:type="dxa"/>
            <w:tcBorders>
              <w:top w:val="single" w:color="auto" w:sz="4" w:space="0"/>
              <w:left w:val="single" w:color="auto" w:sz="4" w:space="0"/>
              <w:bottom w:val="single" w:color="auto" w:sz="4" w:space="0"/>
              <w:right w:val="single" w:color="auto" w:sz="4" w:space="0"/>
            </w:tcBorders>
          </w:tcPr>
          <w:p>
            <w:pPr>
              <w:widowControl w:val="0"/>
              <w:spacing w:before="0" w:beforeLines="0" w:after="0" w:afterLines="0"/>
              <w:jc w:val="center"/>
              <w:rPr>
                <w:sz w:val="18"/>
                <w:szCs w:val="18"/>
              </w:rPr>
            </w:pPr>
            <w:r>
              <w:rPr>
                <w:sz w:val="18"/>
                <w:szCs w:val="18"/>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widowControl w:val="0"/>
              <w:spacing w:before="0" w:beforeLines="0" w:after="0" w:afterLines="0"/>
              <w:jc w:val="center"/>
              <w:rPr>
                <w:sz w:val="18"/>
                <w:szCs w:val="18"/>
              </w:rPr>
            </w:pPr>
            <w:r>
              <w:rPr>
                <w:sz w:val="18"/>
                <w:szCs w:val="18"/>
              </w:rPr>
              <w:t>Micro sleep</w:t>
            </w:r>
          </w:p>
        </w:tc>
        <w:tc>
          <w:tcPr>
            <w:tcW w:w="2469" w:type="dxa"/>
            <w:tcBorders>
              <w:top w:val="single" w:color="auto" w:sz="4" w:space="0"/>
              <w:left w:val="single" w:color="auto" w:sz="4" w:space="0"/>
              <w:bottom w:val="single" w:color="auto" w:sz="4" w:space="0"/>
              <w:right w:val="single" w:color="auto" w:sz="4" w:space="0"/>
            </w:tcBorders>
          </w:tcPr>
          <w:p>
            <w:pPr>
              <w:widowControl w:val="0"/>
              <w:spacing w:before="0" w:beforeLines="0" w:after="0" w:afterLines="0"/>
              <w:jc w:val="center"/>
              <w:rPr>
                <w:sz w:val="18"/>
                <w:szCs w:val="18"/>
              </w:rPr>
            </w:pPr>
            <w:r>
              <w:rPr>
                <w:sz w:val="18"/>
                <w:szCs w:val="1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widowControl w:val="0"/>
              <w:spacing w:before="0" w:beforeLines="0" w:after="0" w:afterLines="0"/>
              <w:jc w:val="center"/>
              <w:rPr>
                <w:sz w:val="18"/>
                <w:szCs w:val="18"/>
              </w:rPr>
            </w:pPr>
            <w:r>
              <w:rPr>
                <w:sz w:val="18"/>
                <w:szCs w:val="18"/>
              </w:rPr>
              <w:t>Light sleep</w:t>
            </w:r>
          </w:p>
        </w:tc>
        <w:tc>
          <w:tcPr>
            <w:tcW w:w="2469" w:type="dxa"/>
            <w:tcBorders>
              <w:top w:val="single" w:color="auto" w:sz="4" w:space="0"/>
              <w:left w:val="single" w:color="auto" w:sz="4" w:space="0"/>
              <w:bottom w:val="single" w:color="auto" w:sz="4" w:space="0"/>
              <w:right w:val="single" w:color="auto" w:sz="4" w:space="0"/>
            </w:tcBorders>
          </w:tcPr>
          <w:p>
            <w:pPr>
              <w:widowControl w:val="0"/>
              <w:spacing w:before="0" w:beforeLines="0" w:after="0" w:afterLines="0"/>
              <w:jc w:val="center"/>
              <w:rPr>
                <w:sz w:val="18"/>
                <w:szCs w:val="18"/>
              </w:rPr>
            </w:pPr>
            <w:r>
              <w:rPr>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widowControl w:val="0"/>
              <w:spacing w:before="0" w:beforeLines="0" w:after="0" w:afterLines="0"/>
              <w:jc w:val="center"/>
              <w:rPr>
                <w:sz w:val="18"/>
                <w:szCs w:val="18"/>
              </w:rPr>
            </w:pPr>
            <w:r>
              <w:rPr>
                <w:sz w:val="18"/>
                <w:szCs w:val="18"/>
              </w:rPr>
              <w:t>Deep sleep</w:t>
            </w:r>
          </w:p>
        </w:tc>
        <w:tc>
          <w:tcPr>
            <w:tcW w:w="2469" w:type="dxa"/>
            <w:tcBorders>
              <w:top w:val="single" w:color="auto" w:sz="4" w:space="0"/>
              <w:left w:val="single" w:color="auto" w:sz="4" w:space="0"/>
              <w:bottom w:val="single" w:color="auto" w:sz="4" w:space="0"/>
              <w:right w:val="single" w:color="auto" w:sz="4" w:space="0"/>
            </w:tcBorders>
          </w:tcPr>
          <w:p>
            <w:pPr>
              <w:widowControl w:val="0"/>
              <w:spacing w:before="0" w:beforeLines="0" w:after="0" w:afterLines="0"/>
              <w:jc w:val="center"/>
              <w:rPr>
                <w:sz w:val="18"/>
                <w:szCs w:val="18"/>
              </w:rPr>
            </w:pPr>
            <w:r>
              <w:rPr>
                <w:sz w:val="18"/>
                <w:szCs w:val="18"/>
              </w:rPr>
              <w:t>1</w:t>
            </w:r>
          </w:p>
        </w:tc>
      </w:tr>
    </w:tbl>
    <w:p>
      <w:pPr>
        <w:spacing w:before="120" w:after="120"/>
        <w:jc w:val="center"/>
      </w:pPr>
    </w:p>
    <w:p>
      <w:pPr>
        <w:spacing w:before="120" w:after="120"/>
        <w:jc w:val="center"/>
      </w:pPr>
      <w:r>
        <w:t>Table B</w:t>
      </w:r>
      <w:r>
        <w:rPr>
          <w:rFonts w:hint="eastAsia"/>
        </w:rPr>
        <w:t>.</w:t>
      </w:r>
      <w:r>
        <w:t>2 Power model for UL</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2"/>
        <w:gridCol w:w="657"/>
        <w:gridCol w:w="747"/>
        <w:gridCol w:w="2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val="0"/>
              <w:spacing w:before="0" w:beforeLines="0" w:after="0" w:afterLines="0"/>
              <w:jc w:val="center"/>
              <w:rPr>
                <w:sz w:val="18"/>
                <w:szCs w:val="18"/>
              </w:rPr>
            </w:pPr>
            <w:r>
              <w:rPr>
                <w:sz w:val="18"/>
                <w:szCs w:val="18"/>
              </w:rPr>
              <w:t>Power state</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widowControl w:val="0"/>
              <w:spacing w:before="0" w:beforeLines="0" w:after="0" w:afterLines="0"/>
              <w:jc w:val="center"/>
              <w:rPr>
                <w:sz w:val="18"/>
                <w:szCs w:val="18"/>
              </w:rPr>
            </w:pPr>
            <w:r>
              <w:rPr>
                <w:sz w:val="18"/>
                <w:szCs w:val="18"/>
              </w:rPr>
              <w:t>Relative Power(1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val="0"/>
              <w:spacing w:before="0" w:beforeLines="0" w:after="0" w:afterLines="0" w:line="240" w:lineRule="auto"/>
              <w:jc w:val="left"/>
              <w:rPr>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widowControl w:val="0"/>
              <w:spacing w:before="0" w:beforeLines="0" w:after="0" w:afterLines="0"/>
              <w:jc w:val="center"/>
              <w:rPr>
                <w:sz w:val="18"/>
                <w:szCs w:val="18"/>
              </w:rPr>
            </w:pPr>
            <w:r>
              <w:rPr>
                <w:sz w:val="18"/>
                <w:szCs w:val="18"/>
              </w:rPr>
              <w:t>0dBm</w:t>
            </w:r>
          </w:p>
        </w:tc>
        <w:tc>
          <w:tcPr>
            <w:tcW w:w="0" w:type="auto"/>
            <w:tcBorders>
              <w:top w:val="single" w:color="auto" w:sz="4" w:space="0"/>
              <w:left w:val="single" w:color="auto" w:sz="4" w:space="0"/>
              <w:bottom w:val="single" w:color="auto" w:sz="4" w:space="0"/>
              <w:right w:val="single" w:color="auto" w:sz="4" w:space="0"/>
            </w:tcBorders>
            <w:vAlign w:val="center"/>
          </w:tcPr>
          <w:p>
            <w:pPr>
              <w:widowControl w:val="0"/>
              <w:spacing w:before="0" w:beforeLines="0" w:after="0" w:afterLines="0"/>
              <w:jc w:val="center"/>
              <w:rPr>
                <w:sz w:val="18"/>
                <w:szCs w:val="18"/>
              </w:rPr>
            </w:pPr>
            <w:r>
              <w:rPr>
                <w:sz w:val="18"/>
                <w:szCs w:val="18"/>
              </w:rPr>
              <w:t>23dBm</w:t>
            </w:r>
          </w:p>
        </w:tc>
        <w:tc>
          <w:tcPr>
            <w:tcW w:w="0" w:type="auto"/>
            <w:tcBorders>
              <w:top w:val="single" w:color="auto" w:sz="4" w:space="0"/>
              <w:left w:val="single" w:color="auto" w:sz="4" w:space="0"/>
              <w:bottom w:val="single" w:color="auto" w:sz="4" w:space="0"/>
              <w:right w:val="single" w:color="auto" w:sz="4" w:space="0"/>
            </w:tcBorders>
            <w:vAlign w:val="center"/>
          </w:tcPr>
          <w:p>
            <w:pPr>
              <w:widowControl w:val="0"/>
              <w:spacing w:before="0" w:beforeLines="0" w:after="0" w:afterLines="0"/>
              <w:jc w:val="center"/>
              <w:rPr>
                <w:sz w:val="18"/>
                <w:szCs w:val="18"/>
              </w:rPr>
            </w:pPr>
            <w:r>
              <w:rPr>
                <w:sz w:val="18"/>
                <w:szCs w:val="18"/>
              </w:rPr>
              <w:t>Other Tx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val="0"/>
              <w:spacing w:before="0" w:beforeLines="0" w:after="0" w:afterLines="0"/>
              <w:jc w:val="center"/>
              <w:rPr>
                <w:sz w:val="18"/>
                <w:szCs w:val="18"/>
              </w:rPr>
            </w:pPr>
            <w:r>
              <w:rPr>
                <w:sz w:val="18"/>
                <w:szCs w:val="18"/>
              </w:rPr>
              <w:t>UL(long PUCCH or PUSCH)</w:t>
            </w:r>
          </w:p>
        </w:tc>
        <w:tc>
          <w:tcPr>
            <w:tcW w:w="0" w:type="auto"/>
            <w:tcBorders>
              <w:top w:val="single" w:color="auto" w:sz="4" w:space="0"/>
              <w:left w:val="single" w:color="auto" w:sz="4" w:space="0"/>
              <w:bottom w:val="single" w:color="auto" w:sz="4" w:space="0"/>
              <w:right w:val="single" w:color="auto" w:sz="4" w:space="0"/>
            </w:tcBorders>
            <w:vAlign w:val="center"/>
          </w:tcPr>
          <w:p>
            <w:pPr>
              <w:widowControl w:val="0"/>
              <w:spacing w:before="0" w:beforeLines="0" w:after="0" w:afterLines="0"/>
              <w:jc w:val="center"/>
              <w:rPr>
                <w:sz w:val="18"/>
                <w:szCs w:val="18"/>
              </w:rPr>
            </w:pPr>
            <w:r>
              <w:rPr>
                <w:sz w:val="18"/>
                <w:szCs w:val="18"/>
              </w:rPr>
              <w:t>250</w:t>
            </w:r>
          </w:p>
        </w:tc>
        <w:tc>
          <w:tcPr>
            <w:tcW w:w="0" w:type="auto"/>
            <w:tcBorders>
              <w:top w:val="single" w:color="auto" w:sz="4" w:space="0"/>
              <w:left w:val="single" w:color="auto" w:sz="4" w:space="0"/>
              <w:bottom w:val="single" w:color="auto" w:sz="4" w:space="0"/>
              <w:right w:val="single" w:color="auto" w:sz="4" w:space="0"/>
            </w:tcBorders>
            <w:vAlign w:val="center"/>
          </w:tcPr>
          <w:p>
            <w:pPr>
              <w:widowControl w:val="0"/>
              <w:spacing w:before="0" w:beforeLines="0" w:after="0" w:afterLines="0"/>
              <w:jc w:val="center"/>
              <w:rPr>
                <w:sz w:val="18"/>
                <w:szCs w:val="18"/>
              </w:rPr>
            </w:pPr>
            <w:r>
              <w:rPr>
                <w:sz w:val="18"/>
                <w:szCs w:val="18"/>
              </w:rPr>
              <w:t>700</w:t>
            </w:r>
          </w:p>
        </w:tc>
        <w:tc>
          <w:tcPr>
            <w:tcW w:w="0" w:type="auto"/>
            <w:tcBorders>
              <w:top w:val="single" w:color="auto" w:sz="4" w:space="0"/>
              <w:left w:val="single" w:color="auto" w:sz="4" w:space="0"/>
              <w:bottom w:val="single" w:color="auto" w:sz="4" w:space="0"/>
              <w:right w:val="single" w:color="auto" w:sz="4" w:space="0"/>
            </w:tcBorders>
            <w:vAlign w:val="center"/>
          </w:tcPr>
          <w:p>
            <w:pPr>
              <w:widowControl w:val="0"/>
              <w:spacing w:before="0" w:beforeLines="0" w:after="0" w:afterLines="0"/>
              <w:jc w:val="center"/>
              <w:rPr>
                <w:sz w:val="18"/>
                <w:szCs w:val="18"/>
              </w:rPr>
            </w:pPr>
            <w:r>
              <w:rPr>
                <w:sz w:val="18"/>
                <w:szCs w:val="18"/>
              </w:rPr>
              <w:t>Obtained by step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val="0"/>
              <w:spacing w:before="0" w:beforeLines="0" w:after="0" w:afterLines="0"/>
              <w:jc w:val="center"/>
              <w:rPr>
                <w:sz w:val="18"/>
                <w:szCs w:val="18"/>
              </w:rPr>
            </w:pPr>
            <w:r>
              <w:rPr>
                <w:sz w:val="18"/>
                <w:szCs w:val="18"/>
              </w:rPr>
              <w:t>PDCCH+PUSCH</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widowControl w:val="0"/>
              <w:spacing w:before="0" w:beforeLines="0" w:after="0" w:afterLines="0"/>
              <w:jc w:val="center"/>
              <w:rPr>
                <w:sz w:val="18"/>
                <w:szCs w:val="18"/>
              </w:rPr>
            </w:pPr>
            <w:r>
              <w:rPr>
                <w:sz w:val="18"/>
                <w:szCs w:val="18"/>
              </w:rPr>
              <w:t>Sum(PDCCH-only,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widowControl w:val="0"/>
              <w:spacing w:before="0" w:beforeLines="0" w:after="0" w:afterLines="0"/>
              <w:jc w:val="center"/>
              <w:rPr>
                <w:sz w:val="18"/>
                <w:szCs w:val="18"/>
              </w:rPr>
            </w:pPr>
            <w:r>
              <w:rPr>
                <w:sz w:val="18"/>
                <w:szCs w:val="18"/>
              </w:rPr>
              <w:t>PDCCH+PDSCH+PUSCH</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widowControl w:val="0"/>
              <w:spacing w:before="0" w:beforeLines="0" w:after="0" w:afterLines="0"/>
              <w:jc w:val="center"/>
              <w:rPr>
                <w:sz w:val="18"/>
                <w:szCs w:val="18"/>
              </w:rPr>
            </w:pPr>
            <w:r>
              <w:rPr>
                <w:sz w:val="18"/>
                <w:szCs w:val="18"/>
              </w:rPr>
              <w:t>Sum(PDCCH+PDSCH, PUSCH)</w:t>
            </w:r>
          </w:p>
        </w:tc>
      </w:tr>
    </w:tbl>
    <w:p>
      <w:pPr>
        <w:numPr>
          <w:ilvl w:val="0"/>
          <w:numId w:val="13"/>
        </w:numPr>
        <w:spacing w:before="120" w:after="120" w:line="256" w:lineRule="auto"/>
        <w:ind w:left="357" w:hanging="357"/>
      </w:pPr>
      <w:r>
        <w:t>Note: The power of “PDCCH+PDSCH+PUSCH” slot, “PDSCH+PUSCH” slot and “PDCCH+PUSCH” slot is the sum of corresponding DL power consumption and PUSCH power consumption. For example, the power value of “PDCCH+PUSCH” is equal to the sum of power of “PDCCH-only” and power of “PUSCH”.</w:t>
      </w:r>
    </w:p>
    <w:p>
      <w:pPr>
        <w:spacing w:before="120" w:after="120"/>
        <w:ind w:left="420"/>
      </w:pPr>
    </w:p>
    <w:p>
      <w:pPr>
        <w:spacing w:beforeLines="0" w:afterLines="0"/>
        <w:jc w:val="left"/>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Microsoft YaHei UI">
    <w:panose1 w:val="020B0503020204020204"/>
    <w:charset w:val="86"/>
    <w:family w:val="swiss"/>
    <w:pitch w:val="default"/>
    <w:sig w:usb0="80000287" w:usb1="28CF3C52" w:usb2="00000016" w:usb3="00000000" w:csb0="0004001F" w:csb1="00000000"/>
  </w:font>
  <w:font w:name="Consolas">
    <w:panose1 w:val="020B0609020204030204"/>
    <w:charset w:val="00"/>
    <w:family w:val="modern"/>
    <w:pitch w:val="default"/>
    <w:sig w:usb0="E10002FF" w:usb1="4000FCFF" w:usb2="00000009" w:usb3="00000000" w:csb0="6000019F" w:csb1="DFD7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spacing w:before="120" w:after="12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9"/>
                      <w:spacing w:before="120" w:after="12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tentative="0">
      <w:start w:val="1"/>
      <w:numFmt w:val="decimal"/>
      <w:pStyle w:val="38"/>
      <w:lvlText w:val="Observation %1: "/>
      <w:lvlJc w:val="left"/>
      <w:pPr>
        <w:tabs>
          <w:tab w:val="left" w:pos="0"/>
        </w:tabs>
        <w:ind w:left="0" w:firstLine="0"/>
      </w:pPr>
      <w:rPr>
        <w:rFonts w:hint="default" w:ascii="Times New Roman" w:hAnsi="Times New Roman" w:eastAsia="宋体" w:cs="Times New Roman"/>
        <w:b/>
        <w:bCs/>
        <w:i w:val="0"/>
        <w:iCs w:val="0"/>
        <w:sz w:val="21"/>
        <w:szCs w:val="21"/>
      </w:rPr>
    </w:lvl>
  </w:abstractNum>
  <w:abstractNum w:abstractNumId="1">
    <w:nsid w:val="B15F0BA4"/>
    <w:multiLevelType w:val="singleLevel"/>
    <w:tmpl w:val="B15F0BA4"/>
    <w:lvl w:ilvl="0" w:tentative="0">
      <w:start w:val="1"/>
      <w:numFmt w:val="bullet"/>
      <w:pStyle w:val="42"/>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39"/>
      <w:lvlText w:val="Proposal %1:"/>
      <w:lvlJc w:val="left"/>
      <w:pPr>
        <w:tabs>
          <w:tab w:val="left" w:pos="0"/>
        </w:tabs>
        <w:ind w:left="0" w:firstLine="0"/>
      </w:pPr>
      <w:rPr>
        <w:rFonts w:hint="default" w:ascii="Times New Roman" w:hAnsi="Times New Roman" w:eastAsia="宋体" w:cs="Times New Roman"/>
        <w:b/>
        <w:bCs/>
        <w:i w:val="0"/>
        <w:iCs w:val="0"/>
        <w:sz w:val="20"/>
        <w:szCs w:val="2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8B41DE8"/>
    <w:multiLevelType w:val="multilevel"/>
    <w:tmpl w:val="08B41DE8"/>
    <w:lvl w:ilvl="0" w:tentative="0">
      <w:start w:val="2"/>
      <w:numFmt w:val="bullet"/>
      <w:lvlText w:val="-"/>
      <w:lvlJc w:val="left"/>
      <w:pPr>
        <w:ind w:left="780" w:hanging="360"/>
      </w:pPr>
      <w:rPr>
        <w:rFonts w:hint="default" w:ascii="Times New Roman" w:hAnsi="Times New Roman" w:eastAsia="宋体"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4"/>
        <w:szCs w:val="24"/>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2"/>
        <w:szCs w:val="22"/>
        <w:u w:val="none"/>
        <w:vertAlign w:val="baseline"/>
      </w:rPr>
    </w:lvl>
    <w:lvl w:ilvl="2" w:tentative="0">
      <w:start w:val="1"/>
      <w:numFmt w:val="decimal"/>
      <w:pStyle w:val="4"/>
      <w:suff w:val="nothing"/>
      <w:lvlText w:val="%1.%2.%3  "/>
      <w:lvlJc w:val="left"/>
      <w:pPr>
        <w:ind w:left="426"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2"/>
        <w:szCs w:val="22"/>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Times New Roman" w:hAnsi="Times New Roman" w:eastAsia="黑体" w:cs="Times New Roman"/>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0F8D4A80"/>
    <w:multiLevelType w:val="multilevel"/>
    <w:tmpl w:val="0F8D4A80"/>
    <w:lvl w:ilvl="0" w:tentative="0">
      <w:start w:val="1"/>
      <w:numFmt w:val="bullet"/>
      <w:lvlText w:val="-"/>
      <w:lvlJc w:val="left"/>
      <w:pPr>
        <w:ind w:left="420" w:hanging="420"/>
      </w:pPr>
      <w:rPr>
        <w:rFonts w:hint="default" w:ascii="Verdana" w:hAnsi="Verdana"/>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210E3EF4"/>
    <w:multiLevelType w:val="multilevel"/>
    <w:tmpl w:val="210E3EF4"/>
    <w:lvl w:ilvl="0" w:tentative="0">
      <w:start w:val="1"/>
      <w:numFmt w:val="bullet"/>
      <w:lvlText w:val="-"/>
      <w:lvlJc w:val="left"/>
      <w:pPr>
        <w:ind w:left="420" w:hanging="420"/>
      </w:pPr>
      <w:rPr>
        <w:rFonts w:hint="default" w:ascii="Verdana" w:hAnsi="Verdana"/>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33C13BFC"/>
    <w:multiLevelType w:val="multilevel"/>
    <w:tmpl w:val="33C13BFC"/>
    <w:lvl w:ilvl="0" w:tentative="0">
      <w:start w:val="1"/>
      <w:numFmt w:val="bullet"/>
      <w:lvlText w:val="-"/>
      <w:lvlJc w:val="left"/>
      <w:pPr>
        <w:ind w:left="420" w:hanging="420"/>
      </w:pPr>
      <w:rPr>
        <w:rFonts w:hint="default" w:ascii="Verdana" w:hAnsi="Verdan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A877D64"/>
    <w:multiLevelType w:val="singleLevel"/>
    <w:tmpl w:val="3A877D64"/>
    <w:lvl w:ilvl="0" w:tentative="0">
      <w:start w:val="1"/>
      <w:numFmt w:val="decimal"/>
      <w:pStyle w:val="44"/>
      <w:lvlText w:val="[%1]"/>
      <w:lvlJc w:val="left"/>
      <w:pPr>
        <w:tabs>
          <w:tab w:val="left" w:pos="360"/>
        </w:tabs>
        <w:ind w:left="360" w:hanging="360"/>
      </w:pPr>
    </w:lvl>
  </w:abstractNum>
  <w:abstractNum w:abstractNumId="9">
    <w:nsid w:val="48C731C5"/>
    <w:multiLevelType w:val="multilevel"/>
    <w:tmpl w:val="48C731C5"/>
    <w:lvl w:ilvl="0" w:tentative="0">
      <w:start w:val="1"/>
      <w:numFmt w:val="bullet"/>
      <w:lvlText w:val="-"/>
      <w:lvlJc w:val="left"/>
      <w:pPr>
        <w:ind w:left="420" w:hanging="420"/>
      </w:pPr>
      <w:rPr>
        <w:rFonts w:hint="default" w:ascii="Verdana" w:hAnsi="Verdana"/>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508BE803"/>
    <w:multiLevelType w:val="singleLevel"/>
    <w:tmpl w:val="508BE803"/>
    <w:lvl w:ilvl="0" w:tentative="0">
      <w:start w:val="1"/>
      <w:numFmt w:val="bullet"/>
      <w:pStyle w:val="43"/>
      <w:lvlText w:val="-"/>
      <w:lvlJc w:val="left"/>
      <w:pPr>
        <w:ind w:left="420" w:hanging="420"/>
      </w:pPr>
      <w:rPr>
        <w:rFonts w:hint="default" w:ascii="Arial" w:hAnsi="Arial" w:cs="Arial"/>
      </w:rPr>
    </w:lvl>
  </w:abstractNum>
  <w:abstractNum w:abstractNumId="11">
    <w:nsid w:val="55E62E73"/>
    <w:multiLevelType w:val="multilevel"/>
    <w:tmpl w:val="55E62E73"/>
    <w:lvl w:ilvl="0" w:tentative="0">
      <w:start w:val="1"/>
      <w:numFmt w:val="bullet"/>
      <w:lvlText w:val="-"/>
      <w:lvlJc w:val="left"/>
      <w:pPr>
        <w:ind w:left="420" w:hanging="420"/>
      </w:pPr>
      <w:rPr>
        <w:rFonts w:hint="default" w:ascii="Verdana" w:hAnsi="Verdana"/>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63F8770F"/>
    <w:multiLevelType w:val="multilevel"/>
    <w:tmpl w:val="63F8770F"/>
    <w:lvl w:ilvl="0" w:tentative="0">
      <w:start w:val="1"/>
      <w:numFmt w:val="bullet"/>
      <w:lvlText w:val="-"/>
      <w:lvlJc w:val="left"/>
      <w:pPr>
        <w:ind w:left="420" w:hanging="420"/>
      </w:pPr>
      <w:rPr>
        <w:rFonts w:hint="default" w:ascii="Verdana" w:hAnsi="Verdana"/>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7062C84B"/>
    <w:multiLevelType w:val="singleLevel"/>
    <w:tmpl w:val="7062C84B"/>
    <w:lvl w:ilvl="0" w:tentative="0">
      <w:start w:val="1"/>
      <w:numFmt w:val="bullet"/>
      <w:lvlText w:val=""/>
      <w:lvlJc w:val="left"/>
      <w:pPr>
        <w:ind w:left="420" w:hanging="420"/>
      </w:pPr>
      <w:rPr>
        <w:rFonts w:hint="default" w:ascii="Wingdings" w:hAnsi="Wingdings"/>
      </w:rPr>
    </w:lvl>
  </w:abstractNum>
  <w:abstractNum w:abstractNumId="14">
    <w:nsid w:val="7DC436CD"/>
    <w:multiLevelType w:val="singleLevel"/>
    <w:tmpl w:val="7DC436CD"/>
    <w:lvl w:ilvl="0" w:tentative="0">
      <w:start w:val="1"/>
      <w:numFmt w:val="bullet"/>
      <w:pStyle w:val="40"/>
      <w:lvlText w:val="•"/>
      <w:lvlJc w:val="left"/>
      <w:pPr>
        <w:tabs>
          <w:tab w:val="left" w:pos="420"/>
        </w:tabs>
        <w:ind w:left="420" w:hanging="378"/>
      </w:pPr>
      <w:rPr>
        <w:rFonts w:hint="default" w:ascii="Arial" w:hAnsi="Arial" w:cs="Arial"/>
      </w:rPr>
    </w:lvl>
  </w:abstractNum>
  <w:abstractNum w:abstractNumId="15">
    <w:nsid w:val="7FED6A04"/>
    <w:multiLevelType w:val="multilevel"/>
    <w:tmpl w:val="7FED6A04"/>
    <w:lvl w:ilvl="0" w:tentative="0">
      <w:start w:val="1"/>
      <w:numFmt w:val="bullet"/>
      <w:lvlText w:val=""/>
      <w:lvlJc w:val="left"/>
      <w:pPr>
        <w:ind w:left="420" w:hanging="420"/>
      </w:pPr>
      <w:rPr>
        <w:rFonts w:hint="default" w:ascii="Wingdings" w:hAnsi="Wingdings"/>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4"/>
  </w:num>
  <w:num w:numId="2">
    <w:abstractNumId w:val="0"/>
  </w:num>
  <w:num w:numId="3">
    <w:abstractNumId w:val="2"/>
  </w:num>
  <w:num w:numId="4">
    <w:abstractNumId w:val="14"/>
  </w:num>
  <w:num w:numId="5">
    <w:abstractNumId w:val="1"/>
  </w:num>
  <w:num w:numId="6">
    <w:abstractNumId w:val="10"/>
  </w:num>
  <w:num w:numId="7">
    <w:abstractNumId w:val="8"/>
  </w:num>
  <w:num w:numId="8">
    <w:abstractNumId w:val="13"/>
  </w:num>
  <w:num w:numId="9">
    <w:abstractNumId w:val="3"/>
  </w:num>
  <w:num w:numId="10">
    <w:abstractNumId w:val="12"/>
  </w:num>
  <w:num w:numId="11">
    <w:abstractNumId w:val="11"/>
  </w:num>
  <w:num w:numId="12">
    <w:abstractNumId w:val="15"/>
  </w:num>
  <w:num w:numId="13">
    <w:abstractNumId w:val="6"/>
  </w:num>
  <w:num w:numId="14">
    <w:abstractNumId w:val="9"/>
  </w:num>
  <w:num w:numId="15">
    <w:abstractNumId w:val="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657"/>
    <w:rsid w:val="000017CB"/>
    <w:rsid w:val="00011B0F"/>
    <w:rsid w:val="00012E89"/>
    <w:rsid w:val="00013735"/>
    <w:rsid w:val="00015154"/>
    <w:rsid w:val="00015A3B"/>
    <w:rsid w:val="00015BFB"/>
    <w:rsid w:val="00015EDB"/>
    <w:rsid w:val="000239C2"/>
    <w:rsid w:val="00023E09"/>
    <w:rsid w:val="00026E93"/>
    <w:rsid w:val="00035796"/>
    <w:rsid w:val="00041E42"/>
    <w:rsid w:val="00042B43"/>
    <w:rsid w:val="00042E39"/>
    <w:rsid w:val="0004491B"/>
    <w:rsid w:val="00051A20"/>
    <w:rsid w:val="00051C77"/>
    <w:rsid w:val="00064C14"/>
    <w:rsid w:val="00064D22"/>
    <w:rsid w:val="000658C9"/>
    <w:rsid w:val="00076F59"/>
    <w:rsid w:val="000777BE"/>
    <w:rsid w:val="00080105"/>
    <w:rsid w:val="0008440D"/>
    <w:rsid w:val="00084800"/>
    <w:rsid w:val="00093915"/>
    <w:rsid w:val="0009524D"/>
    <w:rsid w:val="00096000"/>
    <w:rsid w:val="0009787C"/>
    <w:rsid w:val="000A0061"/>
    <w:rsid w:val="000A6B3B"/>
    <w:rsid w:val="000B1CAF"/>
    <w:rsid w:val="000B63CC"/>
    <w:rsid w:val="000B6F2B"/>
    <w:rsid w:val="000C217B"/>
    <w:rsid w:val="000C7957"/>
    <w:rsid w:val="000C7C50"/>
    <w:rsid w:val="000D07D4"/>
    <w:rsid w:val="000D1953"/>
    <w:rsid w:val="000D26FB"/>
    <w:rsid w:val="000E447C"/>
    <w:rsid w:val="000E501F"/>
    <w:rsid w:val="000F3475"/>
    <w:rsid w:val="000F65FF"/>
    <w:rsid w:val="000F72AD"/>
    <w:rsid w:val="001027A2"/>
    <w:rsid w:val="001034DA"/>
    <w:rsid w:val="0010617D"/>
    <w:rsid w:val="001163CA"/>
    <w:rsid w:val="00117B10"/>
    <w:rsid w:val="00126D10"/>
    <w:rsid w:val="00133194"/>
    <w:rsid w:val="00140557"/>
    <w:rsid w:val="001452CB"/>
    <w:rsid w:val="0014756F"/>
    <w:rsid w:val="001506E9"/>
    <w:rsid w:val="001516AC"/>
    <w:rsid w:val="00166DD7"/>
    <w:rsid w:val="001674E9"/>
    <w:rsid w:val="00172A27"/>
    <w:rsid w:val="00184951"/>
    <w:rsid w:val="00191CCB"/>
    <w:rsid w:val="0019443E"/>
    <w:rsid w:val="0019599C"/>
    <w:rsid w:val="00196DCD"/>
    <w:rsid w:val="001A01F0"/>
    <w:rsid w:val="001A04C3"/>
    <w:rsid w:val="001B41A9"/>
    <w:rsid w:val="001B5E75"/>
    <w:rsid w:val="001B6A16"/>
    <w:rsid w:val="001C396E"/>
    <w:rsid w:val="001E1639"/>
    <w:rsid w:val="001E4ADD"/>
    <w:rsid w:val="001E630D"/>
    <w:rsid w:val="001E68D2"/>
    <w:rsid w:val="001F2552"/>
    <w:rsid w:val="00200427"/>
    <w:rsid w:val="002040EC"/>
    <w:rsid w:val="00204BEB"/>
    <w:rsid w:val="00217072"/>
    <w:rsid w:val="00217F41"/>
    <w:rsid w:val="002217CD"/>
    <w:rsid w:val="002254E5"/>
    <w:rsid w:val="00235CA8"/>
    <w:rsid w:val="00236811"/>
    <w:rsid w:val="002417E5"/>
    <w:rsid w:val="002460EB"/>
    <w:rsid w:val="00266EB2"/>
    <w:rsid w:val="0026734A"/>
    <w:rsid w:val="00272E7B"/>
    <w:rsid w:val="00282C5E"/>
    <w:rsid w:val="00291E13"/>
    <w:rsid w:val="00292BDC"/>
    <w:rsid w:val="0029479C"/>
    <w:rsid w:val="002A1851"/>
    <w:rsid w:val="002A24E4"/>
    <w:rsid w:val="002B3F85"/>
    <w:rsid w:val="002B4EB7"/>
    <w:rsid w:val="002B532D"/>
    <w:rsid w:val="002C06E5"/>
    <w:rsid w:val="002C1973"/>
    <w:rsid w:val="002C39E2"/>
    <w:rsid w:val="002D37B3"/>
    <w:rsid w:val="002D66D2"/>
    <w:rsid w:val="002D70DD"/>
    <w:rsid w:val="002E1997"/>
    <w:rsid w:val="002F25AA"/>
    <w:rsid w:val="002F63DE"/>
    <w:rsid w:val="00303048"/>
    <w:rsid w:val="00306FE6"/>
    <w:rsid w:val="00311DAC"/>
    <w:rsid w:val="00317179"/>
    <w:rsid w:val="00323556"/>
    <w:rsid w:val="00326050"/>
    <w:rsid w:val="00331B1C"/>
    <w:rsid w:val="00331EF2"/>
    <w:rsid w:val="00334743"/>
    <w:rsid w:val="00354570"/>
    <w:rsid w:val="003548FE"/>
    <w:rsid w:val="00355D1A"/>
    <w:rsid w:val="003565E9"/>
    <w:rsid w:val="00365D66"/>
    <w:rsid w:val="00367434"/>
    <w:rsid w:val="00367EF9"/>
    <w:rsid w:val="00370C23"/>
    <w:rsid w:val="00371CBB"/>
    <w:rsid w:val="00375A07"/>
    <w:rsid w:val="003766C6"/>
    <w:rsid w:val="00377BC5"/>
    <w:rsid w:val="00380742"/>
    <w:rsid w:val="00381EDA"/>
    <w:rsid w:val="00382D15"/>
    <w:rsid w:val="00395237"/>
    <w:rsid w:val="00396ADB"/>
    <w:rsid w:val="003A103D"/>
    <w:rsid w:val="003A5361"/>
    <w:rsid w:val="003A68BD"/>
    <w:rsid w:val="003A7E56"/>
    <w:rsid w:val="003B1149"/>
    <w:rsid w:val="003B217C"/>
    <w:rsid w:val="003C31D2"/>
    <w:rsid w:val="003D1DD7"/>
    <w:rsid w:val="003D212D"/>
    <w:rsid w:val="003D2C54"/>
    <w:rsid w:val="003D5859"/>
    <w:rsid w:val="003E3446"/>
    <w:rsid w:val="003E38AE"/>
    <w:rsid w:val="003E4BBB"/>
    <w:rsid w:val="003E4FEE"/>
    <w:rsid w:val="003E680F"/>
    <w:rsid w:val="003F4FBC"/>
    <w:rsid w:val="0041502B"/>
    <w:rsid w:val="004265D0"/>
    <w:rsid w:val="004326F4"/>
    <w:rsid w:val="00441FB9"/>
    <w:rsid w:val="00443103"/>
    <w:rsid w:val="0044362B"/>
    <w:rsid w:val="00452AB6"/>
    <w:rsid w:val="00453986"/>
    <w:rsid w:val="0045623B"/>
    <w:rsid w:val="00461AA7"/>
    <w:rsid w:val="00462DF1"/>
    <w:rsid w:val="00476112"/>
    <w:rsid w:val="004800C1"/>
    <w:rsid w:val="00483003"/>
    <w:rsid w:val="004834D4"/>
    <w:rsid w:val="00490961"/>
    <w:rsid w:val="00493873"/>
    <w:rsid w:val="00496216"/>
    <w:rsid w:val="004A3766"/>
    <w:rsid w:val="004A5821"/>
    <w:rsid w:val="004B1A2F"/>
    <w:rsid w:val="004C05FA"/>
    <w:rsid w:val="004C1151"/>
    <w:rsid w:val="004C7CB4"/>
    <w:rsid w:val="004C7FE3"/>
    <w:rsid w:val="004D0363"/>
    <w:rsid w:val="004D7022"/>
    <w:rsid w:val="004F1990"/>
    <w:rsid w:val="004F342B"/>
    <w:rsid w:val="004F7324"/>
    <w:rsid w:val="00500199"/>
    <w:rsid w:val="00503141"/>
    <w:rsid w:val="00517339"/>
    <w:rsid w:val="005212D2"/>
    <w:rsid w:val="005228C9"/>
    <w:rsid w:val="00522A39"/>
    <w:rsid w:val="00525ABF"/>
    <w:rsid w:val="0052624F"/>
    <w:rsid w:val="00534AC4"/>
    <w:rsid w:val="005420CA"/>
    <w:rsid w:val="005436CE"/>
    <w:rsid w:val="005439D4"/>
    <w:rsid w:val="00546231"/>
    <w:rsid w:val="005650A3"/>
    <w:rsid w:val="00566FDE"/>
    <w:rsid w:val="00576074"/>
    <w:rsid w:val="005802EF"/>
    <w:rsid w:val="005813DA"/>
    <w:rsid w:val="00583301"/>
    <w:rsid w:val="00583697"/>
    <w:rsid w:val="00585C15"/>
    <w:rsid w:val="0058704C"/>
    <w:rsid w:val="00594202"/>
    <w:rsid w:val="00594E48"/>
    <w:rsid w:val="00597ADE"/>
    <w:rsid w:val="005A03E4"/>
    <w:rsid w:val="005A3A55"/>
    <w:rsid w:val="005B065E"/>
    <w:rsid w:val="005B1CD4"/>
    <w:rsid w:val="005C0F68"/>
    <w:rsid w:val="005C47EF"/>
    <w:rsid w:val="005D0D50"/>
    <w:rsid w:val="005D14DB"/>
    <w:rsid w:val="005D2F93"/>
    <w:rsid w:val="005E6D49"/>
    <w:rsid w:val="005F1A12"/>
    <w:rsid w:val="005F38D1"/>
    <w:rsid w:val="005F3D0F"/>
    <w:rsid w:val="00602586"/>
    <w:rsid w:val="00603923"/>
    <w:rsid w:val="0062153B"/>
    <w:rsid w:val="0062167D"/>
    <w:rsid w:val="00633C6F"/>
    <w:rsid w:val="0063757E"/>
    <w:rsid w:val="00640A33"/>
    <w:rsid w:val="006432A2"/>
    <w:rsid w:val="00643612"/>
    <w:rsid w:val="006454D0"/>
    <w:rsid w:val="00645E5F"/>
    <w:rsid w:val="00646A9B"/>
    <w:rsid w:val="00671B8B"/>
    <w:rsid w:val="00677C91"/>
    <w:rsid w:val="0068648D"/>
    <w:rsid w:val="00690670"/>
    <w:rsid w:val="006970AA"/>
    <w:rsid w:val="006A072C"/>
    <w:rsid w:val="006A6F2E"/>
    <w:rsid w:val="006B021A"/>
    <w:rsid w:val="006B10CB"/>
    <w:rsid w:val="006B1F34"/>
    <w:rsid w:val="006B2721"/>
    <w:rsid w:val="006B63E2"/>
    <w:rsid w:val="006B6ED9"/>
    <w:rsid w:val="006C1ED6"/>
    <w:rsid w:val="006C61BF"/>
    <w:rsid w:val="006D3CB8"/>
    <w:rsid w:val="006D42B1"/>
    <w:rsid w:val="006D5AEA"/>
    <w:rsid w:val="006E3C24"/>
    <w:rsid w:val="006E69D1"/>
    <w:rsid w:val="006F0B4C"/>
    <w:rsid w:val="006F14FC"/>
    <w:rsid w:val="006F284E"/>
    <w:rsid w:val="006F4186"/>
    <w:rsid w:val="006F7D0E"/>
    <w:rsid w:val="0070090D"/>
    <w:rsid w:val="0070654E"/>
    <w:rsid w:val="00711D48"/>
    <w:rsid w:val="00712A5E"/>
    <w:rsid w:val="00713810"/>
    <w:rsid w:val="007166E8"/>
    <w:rsid w:val="00722350"/>
    <w:rsid w:val="00737B22"/>
    <w:rsid w:val="0074089D"/>
    <w:rsid w:val="00744C1A"/>
    <w:rsid w:val="00746009"/>
    <w:rsid w:val="007476DD"/>
    <w:rsid w:val="00751A1E"/>
    <w:rsid w:val="00772085"/>
    <w:rsid w:val="007761D7"/>
    <w:rsid w:val="00781710"/>
    <w:rsid w:val="00784E6E"/>
    <w:rsid w:val="00795FC2"/>
    <w:rsid w:val="007A0C1E"/>
    <w:rsid w:val="007A24B9"/>
    <w:rsid w:val="007A5B95"/>
    <w:rsid w:val="007A5CFF"/>
    <w:rsid w:val="007B0734"/>
    <w:rsid w:val="007B0F88"/>
    <w:rsid w:val="007B319D"/>
    <w:rsid w:val="007B379C"/>
    <w:rsid w:val="007B6D64"/>
    <w:rsid w:val="007C1955"/>
    <w:rsid w:val="007C2792"/>
    <w:rsid w:val="007C4C91"/>
    <w:rsid w:val="007C6A0A"/>
    <w:rsid w:val="007C7ACA"/>
    <w:rsid w:val="007D42AC"/>
    <w:rsid w:val="007E53B8"/>
    <w:rsid w:val="007F2A3D"/>
    <w:rsid w:val="007F5FF3"/>
    <w:rsid w:val="007F6B9D"/>
    <w:rsid w:val="008026B7"/>
    <w:rsid w:val="00807A83"/>
    <w:rsid w:val="00812554"/>
    <w:rsid w:val="008135A5"/>
    <w:rsid w:val="00816F6F"/>
    <w:rsid w:val="00817DE9"/>
    <w:rsid w:val="00820058"/>
    <w:rsid w:val="008232EE"/>
    <w:rsid w:val="00825A92"/>
    <w:rsid w:val="00830ED1"/>
    <w:rsid w:val="00832C17"/>
    <w:rsid w:val="00846E3F"/>
    <w:rsid w:val="00847916"/>
    <w:rsid w:val="00856229"/>
    <w:rsid w:val="0085716B"/>
    <w:rsid w:val="008615F3"/>
    <w:rsid w:val="00862777"/>
    <w:rsid w:val="008632D8"/>
    <w:rsid w:val="008650A2"/>
    <w:rsid w:val="00873548"/>
    <w:rsid w:val="0087435E"/>
    <w:rsid w:val="008776C3"/>
    <w:rsid w:val="00880E89"/>
    <w:rsid w:val="00881CEE"/>
    <w:rsid w:val="008830C7"/>
    <w:rsid w:val="00894AD9"/>
    <w:rsid w:val="00895C07"/>
    <w:rsid w:val="008971C5"/>
    <w:rsid w:val="008A0205"/>
    <w:rsid w:val="008A05C1"/>
    <w:rsid w:val="008B1BC6"/>
    <w:rsid w:val="008B58AC"/>
    <w:rsid w:val="008B7017"/>
    <w:rsid w:val="008B7CB0"/>
    <w:rsid w:val="008B7DB1"/>
    <w:rsid w:val="008C1A97"/>
    <w:rsid w:val="008C3050"/>
    <w:rsid w:val="008C329B"/>
    <w:rsid w:val="008C72D3"/>
    <w:rsid w:val="008D1D47"/>
    <w:rsid w:val="008D230F"/>
    <w:rsid w:val="008D38A0"/>
    <w:rsid w:val="008D51A9"/>
    <w:rsid w:val="008D54B2"/>
    <w:rsid w:val="008E0B96"/>
    <w:rsid w:val="008E587D"/>
    <w:rsid w:val="008E617E"/>
    <w:rsid w:val="008F11DE"/>
    <w:rsid w:val="008F74D1"/>
    <w:rsid w:val="0090147B"/>
    <w:rsid w:val="00904EC5"/>
    <w:rsid w:val="00907CB9"/>
    <w:rsid w:val="009125C1"/>
    <w:rsid w:val="0091556B"/>
    <w:rsid w:val="00915FE3"/>
    <w:rsid w:val="00923623"/>
    <w:rsid w:val="00926E20"/>
    <w:rsid w:val="00930332"/>
    <w:rsid w:val="00931643"/>
    <w:rsid w:val="0093236A"/>
    <w:rsid w:val="00933B85"/>
    <w:rsid w:val="00936D7B"/>
    <w:rsid w:val="00942505"/>
    <w:rsid w:val="00942E25"/>
    <w:rsid w:val="00950B8D"/>
    <w:rsid w:val="00953CDE"/>
    <w:rsid w:val="009544E0"/>
    <w:rsid w:val="009578EB"/>
    <w:rsid w:val="0096044C"/>
    <w:rsid w:val="009864C8"/>
    <w:rsid w:val="009917E6"/>
    <w:rsid w:val="00992CAA"/>
    <w:rsid w:val="0099436F"/>
    <w:rsid w:val="009944AA"/>
    <w:rsid w:val="009953DB"/>
    <w:rsid w:val="009C4832"/>
    <w:rsid w:val="009C5508"/>
    <w:rsid w:val="009C60E4"/>
    <w:rsid w:val="009D0920"/>
    <w:rsid w:val="009D1C4D"/>
    <w:rsid w:val="009D1E4F"/>
    <w:rsid w:val="009D3E62"/>
    <w:rsid w:val="009E3CEF"/>
    <w:rsid w:val="009F07B1"/>
    <w:rsid w:val="00A021F3"/>
    <w:rsid w:val="00A027EF"/>
    <w:rsid w:val="00A02943"/>
    <w:rsid w:val="00A03A42"/>
    <w:rsid w:val="00A03B7D"/>
    <w:rsid w:val="00A04F03"/>
    <w:rsid w:val="00A06031"/>
    <w:rsid w:val="00A12F88"/>
    <w:rsid w:val="00A14FF2"/>
    <w:rsid w:val="00A15FD1"/>
    <w:rsid w:val="00A16425"/>
    <w:rsid w:val="00A4166A"/>
    <w:rsid w:val="00A46CC4"/>
    <w:rsid w:val="00A54D0B"/>
    <w:rsid w:val="00A57F9E"/>
    <w:rsid w:val="00A669D4"/>
    <w:rsid w:val="00A8126A"/>
    <w:rsid w:val="00A878AE"/>
    <w:rsid w:val="00A90780"/>
    <w:rsid w:val="00A92636"/>
    <w:rsid w:val="00A9419E"/>
    <w:rsid w:val="00A941B0"/>
    <w:rsid w:val="00AA32DF"/>
    <w:rsid w:val="00AA6E04"/>
    <w:rsid w:val="00AB21DC"/>
    <w:rsid w:val="00AB339E"/>
    <w:rsid w:val="00AC19F6"/>
    <w:rsid w:val="00AC260F"/>
    <w:rsid w:val="00AD4752"/>
    <w:rsid w:val="00AD5057"/>
    <w:rsid w:val="00AE5669"/>
    <w:rsid w:val="00AF7C15"/>
    <w:rsid w:val="00B16AE9"/>
    <w:rsid w:val="00B2619C"/>
    <w:rsid w:val="00B35BD3"/>
    <w:rsid w:val="00B571CE"/>
    <w:rsid w:val="00B61CE0"/>
    <w:rsid w:val="00B641FF"/>
    <w:rsid w:val="00B66332"/>
    <w:rsid w:val="00B75373"/>
    <w:rsid w:val="00B810DE"/>
    <w:rsid w:val="00B81A6F"/>
    <w:rsid w:val="00B87930"/>
    <w:rsid w:val="00B9484C"/>
    <w:rsid w:val="00B952BF"/>
    <w:rsid w:val="00B95736"/>
    <w:rsid w:val="00BA715F"/>
    <w:rsid w:val="00BB0EEC"/>
    <w:rsid w:val="00BB71E4"/>
    <w:rsid w:val="00BC1857"/>
    <w:rsid w:val="00BC22AE"/>
    <w:rsid w:val="00BC7CC2"/>
    <w:rsid w:val="00BD47B2"/>
    <w:rsid w:val="00BD52A6"/>
    <w:rsid w:val="00BD6309"/>
    <w:rsid w:val="00BD6916"/>
    <w:rsid w:val="00BE559C"/>
    <w:rsid w:val="00BE5C1A"/>
    <w:rsid w:val="00BE5EFB"/>
    <w:rsid w:val="00BE641D"/>
    <w:rsid w:val="00BF04BF"/>
    <w:rsid w:val="00BF150A"/>
    <w:rsid w:val="00BF1E7C"/>
    <w:rsid w:val="00BF4B0E"/>
    <w:rsid w:val="00C00309"/>
    <w:rsid w:val="00C039ED"/>
    <w:rsid w:val="00C073E1"/>
    <w:rsid w:val="00C134B6"/>
    <w:rsid w:val="00C137DB"/>
    <w:rsid w:val="00C166BC"/>
    <w:rsid w:val="00C16D30"/>
    <w:rsid w:val="00C17EF0"/>
    <w:rsid w:val="00C239A8"/>
    <w:rsid w:val="00C23EBF"/>
    <w:rsid w:val="00C27740"/>
    <w:rsid w:val="00C3400B"/>
    <w:rsid w:val="00C37341"/>
    <w:rsid w:val="00C406CC"/>
    <w:rsid w:val="00C40F63"/>
    <w:rsid w:val="00C47BF5"/>
    <w:rsid w:val="00C50957"/>
    <w:rsid w:val="00C5192B"/>
    <w:rsid w:val="00C51FCC"/>
    <w:rsid w:val="00C523D9"/>
    <w:rsid w:val="00C57F2A"/>
    <w:rsid w:val="00C62C88"/>
    <w:rsid w:val="00C637DC"/>
    <w:rsid w:val="00C66968"/>
    <w:rsid w:val="00C67B31"/>
    <w:rsid w:val="00C67F5E"/>
    <w:rsid w:val="00C774C8"/>
    <w:rsid w:val="00C77FEA"/>
    <w:rsid w:val="00C91D7F"/>
    <w:rsid w:val="00C95A31"/>
    <w:rsid w:val="00CA1DBD"/>
    <w:rsid w:val="00CA276D"/>
    <w:rsid w:val="00CA4828"/>
    <w:rsid w:val="00CA51B3"/>
    <w:rsid w:val="00CA6701"/>
    <w:rsid w:val="00CB2B6E"/>
    <w:rsid w:val="00CB6453"/>
    <w:rsid w:val="00CB7131"/>
    <w:rsid w:val="00CC4532"/>
    <w:rsid w:val="00CD0B02"/>
    <w:rsid w:val="00CD29F4"/>
    <w:rsid w:val="00CD3761"/>
    <w:rsid w:val="00CD71E1"/>
    <w:rsid w:val="00CE1AD7"/>
    <w:rsid w:val="00CF378F"/>
    <w:rsid w:val="00D01D40"/>
    <w:rsid w:val="00D11131"/>
    <w:rsid w:val="00D20A97"/>
    <w:rsid w:val="00D26B1F"/>
    <w:rsid w:val="00D40D43"/>
    <w:rsid w:val="00D50681"/>
    <w:rsid w:val="00D50800"/>
    <w:rsid w:val="00D5574F"/>
    <w:rsid w:val="00D62C07"/>
    <w:rsid w:val="00D70ECB"/>
    <w:rsid w:val="00D9619E"/>
    <w:rsid w:val="00DA03CF"/>
    <w:rsid w:val="00DA1F59"/>
    <w:rsid w:val="00DA5F51"/>
    <w:rsid w:val="00DB0ACF"/>
    <w:rsid w:val="00DB1073"/>
    <w:rsid w:val="00DB6BD7"/>
    <w:rsid w:val="00DC0F8B"/>
    <w:rsid w:val="00DD0E4C"/>
    <w:rsid w:val="00DD3C75"/>
    <w:rsid w:val="00DD3DE0"/>
    <w:rsid w:val="00DD4B55"/>
    <w:rsid w:val="00DF1617"/>
    <w:rsid w:val="00E06B21"/>
    <w:rsid w:val="00E167F1"/>
    <w:rsid w:val="00E2140B"/>
    <w:rsid w:val="00E31E1F"/>
    <w:rsid w:val="00E34F3B"/>
    <w:rsid w:val="00E40569"/>
    <w:rsid w:val="00E40E07"/>
    <w:rsid w:val="00E511A0"/>
    <w:rsid w:val="00E56DD3"/>
    <w:rsid w:val="00E61B28"/>
    <w:rsid w:val="00E62A3D"/>
    <w:rsid w:val="00E67314"/>
    <w:rsid w:val="00E7336C"/>
    <w:rsid w:val="00E75926"/>
    <w:rsid w:val="00E77887"/>
    <w:rsid w:val="00E77FED"/>
    <w:rsid w:val="00E817AF"/>
    <w:rsid w:val="00E857BF"/>
    <w:rsid w:val="00E85B8C"/>
    <w:rsid w:val="00E97469"/>
    <w:rsid w:val="00EA4E8D"/>
    <w:rsid w:val="00EA62E5"/>
    <w:rsid w:val="00EA76D3"/>
    <w:rsid w:val="00EB3AAE"/>
    <w:rsid w:val="00EC0827"/>
    <w:rsid w:val="00EC3843"/>
    <w:rsid w:val="00EC3F65"/>
    <w:rsid w:val="00ED26A0"/>
    <w:rsid w:val="00ED528C"/>
    <w:rsid w:val="00EE2CF6"/>
    <w:rsid w:val="00EE749C"/>
    <w:rsid w:val="00F01154"/>
    <w:rsid w:val="00F1581B"/>
    <w:rsid w:val="00F23ED6"/>
    <w:rsid w:val="00F30F62"/>
    <w:rsid w:val="00F40726"/>
    <w:rsid w:val="00F4095D"/>
    <w:rsid w:val="00F40E52"/>
    <w:rsid w:val="00F533F6"/>
    <w:rsid w:val="00F5722B"/>
    <w:rsid w:val="00F57D7D"/>
    <w:rsid w:val="00F60223"/>
    <w:rsid w:val="00F672A6"/>
    <w:rsid w:val="00F67F3E"/>
    <w:rsid w:val="00F765F4"/>
    <w:rsid w:val="00F82AFD"/>
    <w:rsid w:val="00F83C17"/>
    <w:rsid w:val="00F958CC"/>
    <w:rsid w:val="00F97C0B"/>
    <w:rsid w:val="00FA1FE9"/>
    <w:rsid w:val="00FA359D"/>
    <w:rsid w:val="00FA3BED"/>
    <w:rsid w:val="00FA552B"/>
    <w:rsid w:val="00FA62E6"/>
    <w:rsid w:val="00FA657A"/>
    <w:rsid w:val="00FA6A60"/>
    <w:rsid w:val="00FA7011"/>
    <w:rsid w:val="00FB5ABE"/>
    <w:rsid w:val="00FC0D9D"/>
    <w:rsid w:val="00FC3A53"/>
    <w:rsid w:val="00FD0815"/>
    <w:rsid w:val="00FD2DE4"/>
    <w:rsid w:val="00FD6905"/>
    <w:rsid w:val="00FE01EF"/>
    <w:rsid w:val="00FE4365"/>
    <w:rsid w:val="00FF0673"/>
    <w:rsid w:val="00FF1E19"/>
    <w:rsid w:val="00FF2B35"/>
    <w:rsid w:val="00FF2D5B"/>
    <w:rsid w:val="01166C39"/>
    <w:rsid w:val="011C748B"/>
    <w:rsid w:val="01307DB8"/>
    <w:rsid w:val="01764F01"/>
    <w:rsid w:val="019E0494"/>
    <w:rsid w:val="01BC6EAA"/>
    <w:rsid w:val="01BD387A"/>
    <w:rsid w:val="01EA1306"/>
    <w:rsid w:val="01ED62FC"/>
    <w:rsid w:val="01FA595F"/>
    <w:rsid w:val="01FD3C72"/>
    <w:rsid w:val="022371D7"/>
    <w:rsid w:val="024D6B6A"/>
    <w:rsid w:val="02585A0D"/>
    <w:rsid w:val="026B46B1"/>
    <w:rsid w:val="029B04E7"/>
    <w:rsid w:val="02B53888"/>
    <w:rsid w:val="02F172AC"/>
    <w:rsid w:val="03073BDC"/>
    <w:rsid w:val="032134E9"/>
    <w:rsid w:val="0337268E"/>
    <w:rsid w:val="033F44DC"/>
    <w:rsid w:val="035F75A4"/>
    <w:rsid w:val="037B5FB5"/>
    <w:rsid w:val="03915DEB"/>
    <w:rsid w:val="03985ACE"/>
    <w:rsid w:val="03C35780"/>
    <w:rsid w:val="03D4716A"/>
    <w:rsid w:val="042900C9"/>
    <w:rsid w:val="04A45057"/>
    <w:rsid w:val="04BE76D3"/>
    <w:rsid w:val="04CE7AEE"/>
    <w:rsid w:val="04EE0CCB"/>
    <w:rsid w:val="0555228E"/>
    <w:rsid w:val="055870D1"/>
    <w:rsid w:val="056C3AED"/>
    <w:rsid w:val="058A1330"/>
    <w:rsid w:val="059D1E39"/>
    <w:rsid w:val="05E078B3"/>
    <w:rsid w:val="064035FC"/>
    <w:rsid w:val="066A2ACD"/>
    <w:rsid w:val="066F1ED1"/>
    <w:rsid w:val="06711807"/>
    <w:rsid w:val="06733AD7"/>
    <w:rsid w:val="067F49B3"/>
    <w:rsid w:val="06D01934"/>
    <w:rsid w:val="070C599D"/>
    <w:rsid w:val="07250881"/>
    <w:rsid w:val="072B5A2B"/>
    <w:rsid w:val="07322F8B"/>
    <w:rsid w:val="0747169B"/>
    <w:rsid w:val="07587973"/>
    <w:rsid w:val="075E42FF"/>
    <w:rsid w:val="077D0583"/>
    <w:rsid w:val="077E373B"/>
    <w:rsid w:val="079724D0"/>
    <w:rsid w:val="07A3082E"/>
    <w:rsid w:val="08146476"/>
    <w:rsid w:val="082A352F"/>
    <w:rsid w:val="084343C9"/>
    <w:rsid w:val="084D0ADD"/>
    <w:rsid w:val="084E1E18"/>
    <w:rsid w:val="08581907"/>
    <w:rsid w:val="088E2DBB"/>
    <w:rsid w:val="08940AD8"/>
    <w:rsid w:val="089D5DBC"/>
    <w:rsid w:val="08B05670"/>
    <w:rsid w:val="08C349D1"/>
    <w:rsid w:val="08C805D7"/>
    <w:rsid w:val="08CC0D13"/>
    <w:rsid w:val="09082337"/>
    <w:rsid w:val="093D6246"/>
    <w:rsid w:val="09412575"/>
    <w:rsid w:val="094A5FC4"/>
    <w:rsid w:val="0993533A"/>
    <w:rsid w:val="099F06DD"/>
    <w:rsid w:val="09BE4947"/>
    <w:rsid w:val="09EA0515"/>
    <w:rsid w:val="09F67CD5"/>
    <w:rsid w:val="0A0957E1"/>
    <w:rsid w:val="0A7B50B4"/>
    <w:rsid w:val="0A8A3FFF"/>
    <w:rsid w:val="0AA615D8"/>
    <w:rsid w:val="0ACD04EF"/>
    <w:rsid w:val="0AD3248D"/>
    <w:rsid w:val="0B2A6186"/>
    <w:rsid w:val="0B3D5147"/>
    <w:rsid w:val="0B4306C5"/>
    <w:rsid w:val="0B6B20A7"/>
    <w:rsid w:val="0B9E71DF"/>
    <w:rsid w:val="0BB427D1"/>
    <w:rsid w:val="0BCD5C26"/>
    <w:rsid w:val="0BF10670"/>
    <w:rsid w:val="0C46396D"/>
    <w:rsid w:val="0C6F272A"/>
    <w:rsid w:val="0C9036C8"/>
    <w:rsid w:val="0C9D30C2"/>
    <w:rsid w:val="0CA126F2"/>
    <w:rsid w:val="0CA646D0"/>
    <w:rsid w:val="0CC85127"/>
    <w:rsid w:val="0CEA509E"/>
    <w:rsid w:val="0D2F3891"/>
    <w:rsid w:val="0D426E1A"/>
    <w:rsid w:val="0D823D14"/>
    <w:rsid w:val="0D9D65F4"/>
    <w:rsid w:val="0DB252F6"/>
    <w:rsid w:val="0DEE7CA5"/>
    <w:rsid w:val="0E172BD0"/>
    <w:rsid w:val="0E1F6EEE"/>
    <w:rsid w:val="0E347579"/>
    <w:rsid w:val="0E6A1ECE"/>
    <w:rsid w:val="0E6E2422"/>
    <w:rsid w:val="0E8F0168"/>
    <w:rsid w:val="0E9B4F32"/>
    <w:rsid w:val="0EBF3080"/>
    <w:rsid w:val="0EC34966"/>
    <w:rsid w:val="0F0B4FFE"/>
    <w:rsid w:val="0F123F4C"/>
    <w:rsid w:val="0F1E67DB"/>
    <w:rsid w:val="0F7D1115"/>
    <w:rsid w:val="0F9861DB"/>
    <w:rsid w:val="0FA67E91"/>
    <w:rsid w:val="0FBF25D6"/>
    <w:rsid w:val="0FD80B60"/>
    <w:rsid w:val="0FDB5B48"/>
    <w:rsid w:val="10305169"/>
    <w:rsid w:val="10573101"/>
    <w:rsid w:val="10860503"/>
    <w:rsid w:val="10903BC8"/>
    <w:rsid w:val="109076CE"/>
    <w:rsid w:val="10A50104"/>
    <w:rsid w:val="10A85FA8"/>
    <w:rsid w:val="10AF0C2A"/>
    <w:rsid w:val="10B658BE"/>
    <w:rsid w:val="10BA5ACA"/>
    <w:rsid w:val="10BF1033"/>
    <w:rsid w:val="10C92880"/>
    <w:rsid w:val="10FA22E3"/>
    <w:rsid w:val="115B3410"/>
    <w:rsid w:val="117A531D"/>
    <w:rsid w:val="119D7849"/>
    <w:rsid w:val="11AC1F75"/>
    <w:rsid w:val="122658B9"/>
    <w:rsid w:val="1242135C"/>
    <w:rsid w:val="1256212E"/>
    <w:rsid w:val="12770F03"/>
    <w:rsid w:val="12836E1B"/>
    <w:rsid w:val="1299487F"/>
    <w:rsid w:val="12AC74D2"/>
    <w:rsid w:val="12AE3906"/>
    <w:rsid w:val="12C76FC6"/>
    <w:rsid w:val="12CB14EC"/>
    <w:rsid w:val="12D00DD7"/>
    <w:rsid w:val="12E72C05"/>
    <w:rsid w:val="13344428"/>
    <w:rsid w:val="133C5CE2"/>
    <w:rsid w:val="133E78E9"/>
    <w:rsid w:val="133F535B"/>
    <w:rsid w:val="13660260"/>
    <w:rsid w:val="136C3D77"/>
    <w:rsid w:val="138F5639"/>
    <w:rsid w:val="13971F50"/>
    <w:rsid w:val="139D335C"/>
    <w:rsid w:val="13A1683F"/>
    <w:rsid w:val="13C2790D"/>
    <w:rsid w:val="13E5601F"/>
    <w:rsid w:val="14084ECC"/>
    <w:rsid w:val="140F3ABB"/>
    <w:rsid w:val="14197978"/>
    <w:rsid w:val="141B6583"/>
    <w:rsid w:val="14400B3F"/>
    <w:rsid w:val="1442596B"/>
    <w:rsid w:val="144714E3"/>
    <w:rsid w:val="146853FE"/>
    <w:rsid w:val="146A0337"/>
    <w:rsid w:val="14AC00B9"/>
    <w:rsid w:val="14D55B5C"/>
    <w:rsid w:val="14DA3DA1"/>
    <w:rsid w:val="14EE199C"/>
    <w:rsid w:val="14FC2402"/>
    <w:rsid w:val="15010D0F"/>
    <w:rsid w:val="1505370E"/>
    <w:rsid w:val="15284EB8"/>
    <w:rsid w:val="155F3495"/>
    <w:rsid w:val="15663029"/>
    <w:rsid w:val="156D495A"/>
    <w:rsid w:val="15715C2E"/>
    <w:rsid w:val="15BB7E2E"/>
    <w:rsid w:val="15CA7FE5"/>
    <w:rsid w:val="161821ED"/>
    <w:rsid w:val="16444A69"/>
    <w:rsid w:val="164B2296"/>
    <w:rsid w:val="168346E2"/>
    <w:rsid w:val="16AF6E20"/>
    <w:rsid w:val="16FF3CA8"/>
    <w:rsid w:val="17025890"/>
    <w:rsid w:val="17155857"/>
    <w:rsid w:val="17236AD8"/>
    <w:rsid w:val="173B456E"/>
    <w:rsid w:val="174A0DAB"/>
    <w:rsid w:val="17950508"/>
    <w:rsid w:val="17C72718"/>
    <w:rsid w:val="17ED4CC9"/>
    <w:rsid w:val="18527355"/>
    <w:rsid w:val="18537599"/>
    <w:rsid w:val="18551679"/>
    <w:rsid w:val="188D68E8"/>
    <w:rsid w:val="189C69D9"/>
    <w:rsid w:val="18A34D06"/>
    <w:rsid w:val="18A72928"/>
    <w:rsid w:val="18B6348A"/>
    <w:rsid w:val="18BA0CC4"/>
    <w:rsid w:val="18C87C77"/>
    <w:rsid w:val="18F90C9A"/>
    <w:rsid w:val="19010C43"/>
    <w:rsid w:val="19013AC7"/>
    <w:rsid w:val="19084C73"/>
    <w:rsid w:val="194A0457"/>
    <w:rsid w:val="194F6F37"/>
    <w:rsid w:val="196018AD"/>
    <w:rsid w:val="196E5824"/>
    <w:rsid w:val="19713DD4"/>
    <w:rsid w:val="19AF5AFD"/>
    <w:rsid w:val="19BF7943"/>
    <w:rsid w:val="19C81F03"/>
    <w:rsid w:val="19EE20E8"/>
    <w:rsid w:val="1A054259"/>
    <w:rsid w:val="1A097942"/>
    <w:rsid w:val="1ACB6909"/>
    <w:rsid w:val="1AF24ACC"/>
    <w:rsid w:val="1B0152D1"/>
    <w:rsid w:val="1B2B6940"/>
    <w:rsid w:val="1B5838BD"/>
    <w:rsid w:val="1B7F6005"/>
    <w:rsid w:val="1BA05608"/>
    <w:rsid w:val="1BAF4E35"/>
    <w:rsid w:val="1BAF6DD1"/>
    <w:rsid w:val="1BE82D8F"/>
    <w:rsid w:val="1C0F5C4A"/>
    <w:rsid w:val="1C132CB9"/>
    <w:rsid w:val="1C346C57"/>
    <w:rsid w:val="1C892F1B"/>
    <w:rsid w:val="1CAA2901"/>
    <w:rsid w:val="1CB92F89"/>
    <w:rsid w:val="1CCC26CA"/>
    <w:rsid w:val="1D133E21"/>
    <w:rsid w:val="1D3A10D4"/>
    <w:rsid w:val="1D6041FB"/>
    <w:rsid w:val="1D61520F"/>
    <w:rsid w:val="1D786BCA"/>
    <w:rsid w:val="1D805936"/>
    <w:rsid w:val="1D843FB0"/>
    <w:rsid w:val="1DA83A0D"/>
    <w:rsid w:val="1DDF2ACE"/>
    <w:rsid w:val="1E6062BB"/>
    <w:rsid w:val="1E94181D"/>
    <w:rsid w:val="1E9D6342"/>
    <w:rsid w:val="1EBF09C1"/>
    <w:rsid w:val="1ECD4B11"/>
    <w:rsid w:val="1ED879BC"/>
    <w:rsid w:val="1EED420F"/>
    <w:rsid w:val="1EF17B6F"/>
    <w:rsid w:val="1F1B245E"/>
    <w:rsid w:val="1F4C62AC"/>
    <w:rsid w:val="1F6170A9"/>
    <w:rsid w:val="1F6200DE"/>
    <w:rsid w:val="1F652C38"/>
    <w:rsid w:val="1F9C5BBE"/>
    <w:rsid w:val="1FA23A51"/>
    <w:rsid w:val="1FC21C25"/>
    <w:rsid w:val="1FD14046"/>
    <w:rsid w:val="1FE14460"/>
    <w:rsid w:val="20200CA4"/>
    <w:rsid w:val="202C275A"/>
    <w:rsid w:val="203063E1"/>
    <w:rsid w:val="204E6676"/>
    <w:rsid w:val="205C6F65"/>
    <w:rsid w:val="205F334B"/>
    <w:rsid w:val="206C395B"/>
    <w:rsid w:val="20920951"/>
    <w:rsid w:val="20AA7DFE"/>
    <w:rsid w:val="20CB576A"/>
    <w:rsid w:val="20DC4C14"/>
    <w:rsid w:val="20EF698B"/>
    <w:rsid w:val="210634E6"/>
    <w:rsid w:val="21241A3D"/>
    <w:rsid w:val="21292D01"/>
    <w:rsid w:val="215329D3"/>
    <w:rsid w:val="215416B9"/>
    <w:rsid w:val="21822343"/>
    <w:rsid w:val="2194141D"/>
    <w:rsid w:val="2195668B"/>
    <w:rsid w:val="21A2535F"/>
    <w:rsid w:val="21A9601A"/>
    <w:rsid w:val="21AC0BE7"/>
    <w:rsid w:val="21BE044A"/>
    <w:rsid w:val="21BE5AD4"/>
    <w:rsid w:val="21C347A3"/>
    <w:rsid w:val="21CA2BAC"/>
    <w:rsid w:val="21EB0F17"/>
    <w:rsid w:val="224E2FB0"/>
    <w:rsid w:val="228860D2"/>
    <w:rsid w:val="22C67434"/>
    <w:rsid w:val="22C84A78"/>
    <w:rsid w:val="23081A49"/>
    <w:rsid w:val="232977E6"/>
    <w:rsid w:val="23460B97"/>
    <w:rsid w:val="23A82A04"/>
    <w:rsid w:val="23D11AFC"/>
    <w:rsid w:val="240C6CDE"/>
    <w:rsid w:val="24210188"/>
    <w:rsid w:val="243066C8"/>
    <w:rsid w:val="243D3F45"/>
    <w:rsid w:val="24582DBC"/>
    <w:rsid w:val="245C52F8"/>
    <w:rsid w:val="245E5D40"/>
    <w:rsid w:val="2463385E"/>
    <w:rsid w:val="248D004B"/>
    <w:rsid w:val="24B3612C"/>
    <w:rsid w:val="24CB3B1A"/>
    <w:rsid w:val="24D0629F"/>
    <w:rsid w:val="24DC7AA4"/>
    <w:rsid w:val="24F96BF6"/>
    <w:rsid w:val="250D568B"/>
    <w:rsid w:val="25134332"/>
    <w:rsid w:val="2515354C"/>
    <w:rsid w:val="25191F5C"/>
    <w:rsid w:val="251E5D80"/>
    <w:rsid w:val="252F3B8F"/>
    <w:rsid w:val="254C3941"/>
    <w:rsid w:val="2556135E"/>
    <w:rsid w:val="25572F6C"/>
    <w:rsid w:val="256555F8"/>
    <w:rsid w:val="257E508F"/>
    <w:rsid w:val="25A042C6"/>
    <w:rsid w:val="25AA2ADA"/>
    <w:rsid w:val="25BF0A19"/>
    <w:rsid w:val="25CA37BB"/>
    <w:rsid w:val="25CB1963"/>
    <w:rsid w:val="25E06614"/>
    <w:rsid w:val="25EB1096"/>
    <w:rsid w:val="261A61EB"/>
    <w:rsid w:val="266A62E7"/>
    <w:rsid w:val="26787E9A"/>
    <w:rsid w:val="267E150F"/>
    <w:rsid w:val="26805650"/>
    <w:rsid w:val="26BF5712"/>
    <w:rsid w:val="26C46931"/>
    <w:rsid w:val="26F173AA"/>
    <w:rsid w:val="26F24A28"/>
    <w:rsid w:val="26F71EC7"/>
    <w:rsid w:val="27131DE6"/>
    <w:rsid w:val="274120CE"/>
    <w:rsid w:val="276D22A6"/>
    <w:rsid w:val="27805ED2"/>
    <w:rsid w:val="27AB7429"/>
    <w:rsid w:val="27B806C7"/>
    <w:rsid w:val="27C0593E"/>
    <w:rsid w:val="27CF3D0A"/>
    <w:rsid w:val="27F46C2F"/>
    <w:rsid w:val="27F713BD"/>
    <w:rsid w:val="280D0ABD"/>
    <w:rsid w:val="281418B3"/>
    <w:rsid w:val="285A5A54"/>
    <w:rsid w:val="285C053E"/>
    <w:rsid w:val="28641BC7"/>
    <w:rsid w:val="28706B14"/>
    <w:rsid w:val="28795D57"/>
    <w:rsid w:val="28CB2F20"/>
    <w:rsid w:val="28F733ED"/>
    <w:rsid w:val="28FC1B87"/>
    <w:rsid w:val="290A7633"/>
    <w:rsid w:val="2945677B"/>
    <w:rsid w:val="296A164B"/>
    <w:rsid w:val="297D0F5C"/>
    <w:rsid w:val="297F256E"/>
    <w:rsid w:val="299711A3"/>
    <w:rsid w:val="29BC4C34"/>
    <w:rsid w:val="29E3426B"/>
    <w:rsid w:val="29FA7F26"/>
    <w:rsid w:val="2A0F0262"/>
    <w:rsid w:val="2A11490E"/>
    <w:rsid w:val="2A24123C"/>
    <w:rsid w:val="2A7903F8"/>
    <w:rsid w:val="2A9E41A6"/>
    <w:rsid w:val="2AB361A1"/>
    <w:rsid w:val="2AD176E8"/>
    <w:rsid w:val="2AEA24A8"/>
    <w:rsid w:val="2B774832"/>
    <w:rsid w:val="2BC93350"/>
    <w:rsid w:val="2BCA1C44"/>
    <w:rsid w:val="2BE1364E"/>
    <w:rsid w:val="2C0A1E9D"/>
    <w:rsid w:val="2C4735A9"/>
    <w:rsid w:val="2C5312D1"/>
    <w:rsid w:val="2C6137E6"/>
    <w:rsid w:val="2C9600AF"/>
    <w:rsid w:val="2C9B39D4"/>
    <w:rsid w:val="2CA1029C"/>
    <w:rsid w:val="2CDB2A32"/>
    <w:rsid w:val="2CE4195C"/>
    <w:rsid w:val="2CE732AC"/>
    <w:rsid w:val="2CE74D9A"/>
    <w:rsid w:val="2CE94FBB"/>
    <w:rsid w:val="2D036243"/>
    <w:rsid w:val="2D11052F"/>
    <w:rsid w:val="2D2713FE"/>
    <w:rsid w:val="2D44389F"/>
    <w:rsid w:val="2D644464"/>
    <w:rsid w:val="2DAA1531"/>
    <w:rsid w:val="2DD31482"/>
    <w:rsid w:val="2DED4837"/>
    <w:rsid w:val="2DF81D7C"/>
    <w:rsid w:val="2DFC12C6"/>
    <w:rsid w:val="2E592BD6"/>
    <w:rsid w:val="2E9F709C"/>
    <w:rsid w:val="2EA606EB"/>
    <w:rsid w:val="2EAC0C70"/>
    <w:rsid w:val="2EC7758A"/>
    <w:rsid w:val="2ECD3B90"/>
    <w:rsid w:val="2ED53BA8"/>
    <w:rsid w:val="2EED0A13"/>
    <w:rsid w:val="2F031089"/>
    <w:rsid w:val="2F1251F2"/>
    <w:rsid w:val="2F404E55"/>
    <w:rsid w:val="2F65609A"/>
    <w:rsid w:val="2F6B777C"/>
    <w:rsid w:val="2FBD09F9"/>
    <w:rsid w:val="300B4508"/>
    <w:rsid w:val="30660B82"/>
    <w:rsid w:val="30923787"/>
    <w:rsid w:val="30962F3E"/>
    <w:rsid w:val="309F648F"/>
    <w:rsid w:val="30AA51DE"/>
    <w:rsid w:val="30B43BCB"/>
    <w:rsid w:val="30D17E68"/>
    <w:rsid w:val="30E43B67"/>
    <w:rsid w:val="30F776DB"/>
    <w:rsid w:val="30FF2795"/>
    <w:rsid w:val="310E3D65"/>
    <w:rsid w:val="31481061"/>
    <w:rsid w:val="3158702F"/>
    <w:rsid w:val="315B1DD7"/>
    <w:rsid w:val="3164591C"/>
    <w:rsid w:val="31663925"/>
    <w:rsid w:val="317F78A7"/>
    <w:rsid w:val="3199741D"/>
    <w:rsid w:val="31A561FB"/>
    <w:rsid w:val="31AA2223"/>
    <w:rsid w:val="31C32453"/>
    <w:rsid w:val="31C63526"/>
    <w:rsid w:val="31E41C28"/>
    <w:rsid w:val="31FD180E"/>
    <w:rsid w:val="320B4CF3"/>
    <w:rsid w:val="3214373A"/>
    <w:rsid w:val="32547DD1"/>
    <w:rsid w:val="32586AD3"/>
    <w:rsid w:val="327F30CF"/>
    <w:rsid w:val="329A6ACE"/>
    <w:rsid w:val="32AB75FA"/>
    <w:rsid w:val="32C64BD3"/>
    <w:rsid w:val="33490C27"/>
    <w:rsid w:val="334F3544"/>
    <w:rsid w:val="3381016B"/>
    <w:rsid w:val="33834A37"/>
    <w:rsid w:val="338C60CE"/>
    <w:rsid w:val="33A253D1"/>
    <w:rsid w:val="33FF73F9"/>
    <w:rsid w:val="34371266"/>
    <w:rsid w:val="34481409"/>
    <w:rsid w:val="345B1306"/>
    <w:rsid w:val="348D3D32"/>
    <w:rsid w:val="34A05C59"/>
    <w:rsid w:val="34C215EF"/>
    <w:rsid w:val="34CB6483"/>
    <w:rsid w:val="34EC39C4"/>
    <w:rsid w:val="34FD6C75"/>
    <w:rsid w:val="35191B59"/>
    <w:rsid w:val="35431E06"/>
    <w:rsid w:val="357D51C1"/>
    <w:rsid w:val="35997ED3"/>
    <w:rsid w:val="35B0594E"/>
    <w:rsid w:val="35C47CF3"/>
    <w:rsid w:val="35D5780F"/>
    <w:rsid w:val="360673D5"/>
    <w:rsid w:val="360B1D73"/>
    <w:rsid w:val="360B7EE7"/>
    <w:rsid w:val="36157D72"/>
    <w:rsid w:val="361F3323"/>
    <w:rsid w:val="364A298F"/>
    <w:rsid w:val="364A7B2B"/>
    <w:rsid w:val="3659312E"/>
    <w:rsid w:val="3681117A"/>
    <w:rsid w:val="36E93760"/>
    <w:rsid w:val="37307582"/>
    <w:rsid w:val="3784394E"/>
    <w:rsid w:val="379B41C4"/>
    <w:rsid w:val="37A62041"/>
    <w:rsid w:val="37F25734"/>
    <w:rsid w:val="380321EF"/>
    <w:rsid w:val="380A0B96"/>
    <w:rsid w:val="380F1F50"/>
    <w:rsid w:val="38337F5B"/>
    <w:rsid w:val="385135F5"/>
    <w:rsid w:val="385F665C"/>
    <w:rsid w:val="388E6551"/>
    <w:rsid w:val="38AE3BB0"/>
    <w:rsid w:val="38DC5505"/>
    <w:rsid w:val="391F7D60"/>
    <w:rsid w:val="392D519F"/>
    <w:rsid w:val="392E58B6"/>
    <w:rsid w:val="39422C16"/>
    <w:rsid w:val="39496AE3"/>
    <w:rsid w:val="3985660B"/>
    <w:rsid w:val="39BB13DA"/>
    <w:rsid w:val="39C32FCC"/>
    <w:rsid w:val="39DB06B3"/>
    <w:rsid w:val="39F02F21"/>
    <w:rsid w:val="3A127976"/>
    <w:rsid w:val="3A1704BF"/>
    <w:rsid w:val="3A7958F3"/>
    <w:rsid w:val="3A7A43B2"/>
    <w:rsid w:val="3A7E5091"/>
    <w:rsid w:val="3AC2467B"/>
    <w:rsid w:val="3AC253ED"/>
    <w:rsid w:val="3ACB5746"/>
    <w:rsid w:val="3AD258E7"/>
    <w:rsid w:val="3AE826D9"/>
    <w:rsid w:val="3AEF1B2F"/>
    <w:rsid w:val="3B047F30"/>
    <w:rsid w:val="3B0E5E7F"/>
    <w:rsid w:val="3B1A5A91"/>
    <w:rsid w:val="3B2C4B38"/>
    <w:rsid w:val="3B3664CC"/>
    <w:rsid w:val="3B4A6EB6"/>
    <w:rsid w:val="3B673648"/>
    <w:rsid w:val="3BB20883"/>
    <w:rsid w:val="3BF5659F"/>
    <w:rsid w:val="3BF91027"/>
    <w:rsid w:val="3C134C38"/>
    <w:rsid w:val="3C394599"/>
    <w:rsid w:val="3C635BF2"/>
    <w:rsid w:val="3C7B540C"/>
    <w:rsid w:val="3C8C0B9E"/>
    <w:rsid w:val="3C8E38A4"/>
    <w:rsid w:val="3CE82456"/>
    <w:rsid w:val="3D0527AD"/>
    <w:rsid w:val="3D1229BA"/>
    <w:rsid w:val="3D1D3E8C"/>
    <w:rsid w:val="3D7830E2"/>
    <w:rsid w:val="3D872716"/>
    <w:rsid w:val="3D9F080E"/>
    <w:rsid w:val="3DA8275C"/>
    <w:rsid w:val="3DAD7029"/>
    <w:rsid w:val="3DD133EE"/>
    <w:rsid w:val="3DDE6765"/>
    <w:rsid w:val="3E39525D"/>
    <w:rsid w:val="3E432669"/>
    <w:rsid w:val="3E441C7D"/>
    <w:rsid w:val="3E786EB8"/>
    <w:rsid w:val="3E7F0554"/>
    <w:rsid w:val="3EB43823"/>
    <w:rsid w:val="3ECB2614"/>
    <w:rsid w:val="3F104E7C"/>
    <w:rsid w:val="3F105BE8"/>
    <w:rsid w:val="3F1E19C9"/>
    <w:rsid w:val="3F7C38E1"/>
    <w:rsid w:val="3F8D2B60"/>
    <w:rsid w:val="3F8F74CB"/>
    <w:rsid w:val="3FC956FF"/>
    <w:rsid w:val="400131B8"/>
    <w:rsid w:val="40151C98"/>
    <w:rsid w:val="402B196F"/>
    <w:rsid w:val="40375763"/>
    <w:rsid w:val="406B12D1"/>
    <w:rsid w:val="40903A47"/>
    <w:rsid w:val="409C0D37"/>
    <w:rsid w:val="40A36A71"/>
    <w:rsid w:val="40AE5FB4"/>
    <w:rsid w:val="40CB3E39"/>
    <w:rsid w:val="40D07704"/>
    <w:rsid w:val="40EA5ADE"/>
    <w:rsid w:val="410E4736"/>
    <w:rsid w:val="412D4B03"/>
    <w:rsid w:val="414D38DC"/>
    <w:rsid w:val="4169226D"/>
    <w:rsid w:val="41800493"/>
    <w:rsid w:val="419752E1"/>
    <w:rsid w:val="41A14CA0"/>
    <w:rsid w:val="41A167F9"/>
    <w:rsid w:val="41A34199"/>
    <w:rsid w:val="41BC286E"/>
    <w:rsid w:val="41C577BA"/>
    <w:rsid w:val="41C80CC0"/>
    <w:rsid w:val="41CF08CB"/>
    <w:rsid w:val="41D3631F"/>
    <w:rsid w:val="41F46181"/>
    <w:rsid w:val="41F466FD"/>
    <w:rsid w:val="422B0BD2"/>
    <w:rsid w:val="42380637"/>
    <w:rsid w:val="425D552F"/>
    <w:rsid w:val="427E2C9C"/>
    <w:rsid w:val="428434A1"/>
    <w:rsid w:val="42A67A24"/>
    <w:rsid w:val="42B84DF7"/>
    <w:rsid w:val="42C36AC1"/>
    <w:rsid w:val="42D846B9"/>
    <w:rsid w:val="43015D68"/>
    <w:rsid w:val="43031F78"/>
    <w:rsid w:val="432B156A"/>
    <w:rsid w:val="433817F8"/>
    <w:rsid w:val="4340172A"/>
    <w:rsid w:val="43625625"/>
    <w:rsid w:val="43AB0DFD"/>
    <w:rsid w:val="43B9634F"/>
    <w:rsid w:val="43B97E64"/>
    <w:rsid w:val="43D54F80"/>
    <w:rsid w:val="43E05F61"/>
    <w:rsid w:val="440D5045"/>
    <w:rsid w:val="441863FE"/>
    <w:rsid w:val="4466378D"/>
    <w:rsid w:val="446D6BBF"/>
    <w:rsid w:val="44D9099E"/>
    <w:rsid w:val="44F5724A"/>
    <w:rsid w:val="455115F5"/>
    <w:rsid w:val="4555581D"/>
    <w:rsid w:val="457602B0"/>
    <w:rsid w:val="457D7419"/>
    <w:rsid w:val="45BE6191"/>
    <w:rsid w:val="45BF679F"/>
    <w:rsid w:val="45D946A9"/>
    <w:rsid w:val="45FE24FC"/>
    <w:rsid w:val="460C5979"/>
    <w:rsid w:val="461A19F3"/>
    <w:rsid w:val="46603A94"/>
    <w:rsid w:val="4674018A"/>
    <w:rsid w:val="468F3E27"/>
    <w:rsid w:val="46AC250E"/>
    <w:rsid w:val="46C56CAD"/>
    <w:rsid w:val="46D23BD7"/>
    <w:rsid w:val="46E90846"/>
    <w:rsid w:val="46FF61C2"/>
    <w:rsid w:val="473430FD"/>
    <w:rsid w:val="4740667C"/>
    <w:rsid w:val="47672D4D"/>
    <w:rsid w:val="4776027E"/>
    <w:rsid w:val="47783DDD"/>
    <w:rsid w:val="47C01792"/>
    <w:rsid w:val="47C215CA"/>
    <w:rsid w:val="47D3679D"/>
    <w:rsid w:val="47DA737E"/>
    <w:rsid w:val="47E73D60"/>
    <w:rsid w:val="47F831A1"/>
    <w:rsid w:val="4808150F"/>
    <w:rsid w:val="482E6C55"/>
    <w:rsid w:val="483841CB"/>
    <w:rsid w:val="4846727C"/>
    <w:rsid w:val="48655CDB"/>
    <w:rsid w:val="488A4F97"/>
    <w:rsid w:val="48C169FF"/>
    <w:rsid w:val="48D321B5"/>
    <w:rsid w:val="48DC6BCF"/>
    <w:rsid w:val="4966417F"/>
    <w:rsid w:val="49701211"/>
    <w:rsid w:val="49B751BF"/>
    <w:rsid w:val="49E9233D"/>
    <w:rsid w:val="4A0E40C9"/>
    <w:rsid w:val="4A0E6621"/>
    <w:rsid w:val="4A190059"/>
    <w:rsid w:val="4A2324A9"/>
    <w:rsid w:val="4A2C54FD"/>
    <w:rsid w:val="4A3703C6"/>
    <w:rsid w:val="4AA93BAC"/>
    <w:rsid w:val="4AAD1944"/>
    <w:rsid w:val="4AAE33DD"/>
    <w:rsid w:val="4AC31003"/>
    <w:rsid w:val="4AC66610"/>
    <w:rsid w:val="4AE93159"/>
    <w:rsid w:val="4AF26901"/>
    <w:rsid w:val="4AF8354A"/>
    <w:rsid w:val="4B0B4636"/>
    <w:rsid w:val="4B101FF1"/>
    <w:rsid w:val="4B3B3C56"/>
    <w:rsid w:val="4B6F5171"/>
    <w:rsid w:val="4B742FE5"/>
    <w:rsid w:val="4B850447"/>
    <w:rsid w:val="4B894E29"/>
    <w:rsid w:val="4B8A38B7"/>
    <w:rsid w:val="4BD0339A"/>
    <w:rsid w:val="4BE255AD"/>
    <w:rsid w:val="4C002222"/>
    <w:rsid w:val="4C154D1E"/>
    <w:rsid w:val="4C1E62FB"/>
    <w:rsid w:val="4C247E4A"/>
    <w:rsid w:val="4C414048"/>
    <w:rsid w:val="4C496DB3"/>
    <w:rsid w:val="4C5C2FD3"/>
    <w:rsid w:val="4C74387B"/>
    <w:rsid w:val="4C8E1E13"/>
    <w:rsid w:val="4C8E2AE9"/>
    <w:rsid w:val="4C913BA3"/>
    <w:rsid w:val="4D013E3E"/>
    <w:rsid w:val="4D2455C6"/>
    <w:rsid w:val="4D462159"/>
    <w:rsid w:val="4D553300"/>
    <w:rsid w:val="4D5C5FAC"/>
    <w:rsid w:val="4D7D6E2D"/>
    <w:rsid w:val="4D8C1952"/>
    <w:rsid w:val="4DA00E6E"/>
    <w:rsid w:val="4DA94618"/>
    <w:rsid w:val="4DBE284B"/>
    <w:rsid w:val="4DC605B6"/>
    <w:rsid w:val="4DD81D4B"/>
    <w:rsid w:val="4DEC0985"/>
    <w:rsid w:val="4DFB4F20"/>
    <w:rsid w:val="4E0B0F20"/>
    <w:rsid w:val="4E27683A"/>
    <w:rsid w:val="4E330987"/>
    <w:rsid w:val="4E345049"/>
    <w:rsid w:val="4E4B286E"/>
    <w:rsid w:val="4E540431"/>
    <w:rsid w:val="4EA16728"/>
    <w:rsid w:val="4EC74CC4"/>
    <w:rsid w:val="4EE40140"/>
    <w:rsid w:val="4EF32FFF"/>
    <w:rsid w:val="4F2170E0"/>
    <w:rsid w:val="4F232A9C"/>
    <w:rsid w:val="4F2765B1"/>
    <w:rsid w:val="4F285975"/>
    <w:rsid w:val="4F5E2A8B"/>
    <w:rsid w:val="4F8E43A5"/>
    <w:rsid w:val="4FBF79AC"/>
    <w:rsid w:val="4FE30CD5"/>
    <w:rsid w:val="50290C55"/>
    <w:rsid w:val="50520EBB"/>
    <w:rsid w:val="50607024"/>
    <w:rsid w:val="506A4F14"/>
    <w:rsid w:val="50701CEF"/>
    <w:rsid w:val="50751061"/>
    <w:rsid w:val="507C5FAD"/>
    <w:rsid w:val="507E3A43"/>
    <w:rsid w:val="50811400"/>
    <w:rsid w:val="50A16360"/>
    <w:rsid w:val="50BE2993"/>
    <w:rsid w:val="50D63702"/>
    <w:rsid w:val="50E85FF2"/>
    <w:rsid w:val="50F12C37"/>
    <w:rsid w:val="51101AA1"/>
    <w:rsid w:val="512F1290"/>
    <w:rsid w:val="51431C1C"/>
    <w:rsid w:val="51550032"/>
    <w:rsid w:val="515C4409"/>
    <w:rsid w:val="51796EDE"/>
    <w:rsid w:val="51867298"/>
    <w:rsid w:val="518D4602"/>
    <w:rsid w:val="51CF4854"/>
    <w:rsid w:val="521936F1"/>
    <w:rsid w:val="52195EDF"/>
    <w:rsid w:val="52313387"/>
    <w:rsid w:val="523C02D8"/>
    <w:rsid w:val="523D74AF"/>
    <w:rsid w:val="52480238"/>
    <w:rsid w:val="525767B4"/>
    <w:rsid w:val="525B24EE"/>
    <w:rsid w:val="52927F08"/>
    <w:rsid w:val="529357CD"/>
    <w:rsid w:val="529526FD"/>
    <w:rsid w:val="52A36CCF"/>
    <w:rsid w:val="52D4333A"/>
    <w:rsid w:val="52E04D27"/>
    <w:rsid w:val="52FC5DA6"/>
    <w:rsid w:val="53041097"/>
    <w:rsid w:val="530448FE"/>
    <w:rsid w:val="532E278A"/>
    <w:rsid w:val="53492294"/>
    <w:rsid w:val="53556360"/>
    <w:rsid w:val="539722AA"/>
    <w:rsid w:val="539A390F"/>
    <w:rsid w:val="53DB3477"/>
    <w:rsid w:val="54633E68"/>
    <w:rsid w:val="549D547F"/>
    <w:rsid w:val="54AF6B42"/>
    <w:rsid w:val="54B205EE"/>
    <w:rsid w:val="54E218CB"/>
    <w:rsid w:val="54E44BF8"/>
    <w:rsid w:val="54E80108"/>
    <w:rsid w:val="54FC325C"/>
    <w:rsid w:val="55050D67"/>
    <w:rsid w:val="55220776"/>
    <w:rsid w:val="559C3368"/>
    <w:rsid w:val="55DD6F2A"/>
    <w:rsid w:val="55F72D1E"/>
    <w:rsid w:val="56022FBC"/>
    <w:rsid w:val="561F01EF"/>
    <w:rsid w:val="562805B1"/>
    <w:rsid w:val="56514CF9"/>
    <w:rsid w:val="56553261"/>
    <w:rsid w:val="56595FE3"/>
    <w:rsid w:val="565975B0"/>
    <w:rsid w:val="568C4BFC"/>
    <w:rsid w:val="56A66ED2"/>
    <w:rsid w:val="56B10107"/>
    <w:rsid w:val="56B41A58"/>
    <w:rsid w:val="56BC356A"/>
    <w:rsid w:val="56D577C5"/>
    <w:rsid w:val="56E23970"/>
    <w:rsid w:val="5707592E"/>
    <w:rsid w:val="570856B7"/>
    <w:rsid w:val="57091404"/>
    <w:rsid w:val="570C22CF"/>
    <w:rsid w:val="573547FD"/>
    <w:rsid w:val="57371B4A"/>
    <w:rsid w:val="577A3C7D"/>
    <w:rsid w:val="578F220A"/>
    <w:rsid w:val="5798657F"/>
    <w:rsid w:val="579F0430"/>
    <w:rsid w:val="57B06157"/>
    <w:rsid w:val="57D503EA"/>
    <w:rsid w:val="57FC07D9"/>
    <w:rsid w:val="584E6BAA"/>
    <w:rsid w:val="58500F22"/>
    <w:rsid w:val="58581669"/>
    <w:rsid w:val="58621B9F"/>
    <w:rsid w:val="586E24FB"/>
    <w:rsid w:val="58A56289"/>
    <w:rsid w:val="58B82BCC"/>
    <w:rsid w:val="590D1052"/>
    <w:rsid w:val="591B366A"/>
    <w:rsid w:val="591C0009"/>
    <w:rsid w:val="593223A7"/>
    <w:rsid w:val="59610A7F"/>
    <w:rsid w:val="59632256"/>
    <w:rsid w:val="59687D7F"/>
    <w:rsid w:val="59912A3B"/>
    <w:rsid w:val="599C51D2"/>
    <w:rsid w:val="59A353EA"/>
    <w:rsid w:val="59A81F44"/>
    <w:rsid w:val="59A95289"/>
    <w:rsid w:val="59AA2571"/>
    <w:rsid w:val="59B15F48"/>
    <w:rsid w:val="59C600B6"/>
    <w:rsid w:val="59D15A81"/>
    <w:rsid w:val="59F13672"/>
    <w:rsid w:val="5A07523D"/>
    <w:rsid w:val="5A2802D2"/>
    <w:rsid w:val="5A553984"/>
    <w:rsid w:val="5ACF0F3A"/>
    <w:rsid w:val="5AD450DC"/>
    <w:rsid w:val="5AEE752B"/>
    <w:rsid w:val="5B776461"/>
    <w:rsid w:val="5B7C1136"/>
    <w:rsid w:val="5B7D506F"/>
    <w:rsid w:val="5BAE4C99"/>
    <w:rsid w:val="5BD20414"/>
    <w:rsid w:val="5BF54BBF"/>
    <w:rsid w:val="5C6B1600"/>
    <w:rsid w:val="5C8B39C5"/>
    <w:rsid w:val="5C921AD0"/>
    <w:rsid w:val="5CAF7180"/>
    <w:rsid w:val="5CC77483"/>
    <w:rsid w:val="5CCD5BE1"/>
    <w:rsid w:val="5CD94ADB"/>
    <w:rsid w:val="5CE45D66"/>
    <w:rsid w:val="5D182295"/>
    <w:rsid w:val="5D237020"/>
    <w:rsid w:val="5D2C3550"/>
    <w:rsid w:val="5D3D3693"/>
    <w:rsid w:val="5D5F741C"/>
    <w:rsid w:val="5DAE151D"/>
    <w:rsid w:val="5DAF0874"/>
    <w:rsid w:val="5DC07B62"/>
    <w:rsid w:val="5DCD07B3"/>
    <w:rsid w:val="5DFA6ACB"/>
    <w:rsid w:val="5DFD51DB"/>
    <w:rsid w:val="5E0D36E5"/>
    <w:rsid w:val="5E16686B"/>
    <w:rsid w:val="5E2F6956"/>
    <w:rsid w:val="5E567AFF"/>
    <w:rsid w:val="5E5836FE"/>
    <w:rsid w:val="5E7510E4"/>
    <w:rsid w:val="5EBD3AB4"/>
    <w:rsid w:val="5ED711BC"/>
    <w:rsid w:val="5EDF6BC0"/>
    <w:rsid w:val="5F01704D"/>
    <w:rsid w:val="5F022708"/>
    <w:rsid w:val="5F05303A"/>
    <w:rsid w:val="5F0928C0"/>
    <w:rsid w:val="5F0A3BA8"/>
    <w:rsid w:val="5F1A5A71"/>
    <w:rsid w:val="5F3D3A73"/>
    <w:rsid w:val="5F434754"/>
    <w:rsid w:val="5F9E6C40"/>
    <w:rsid w:val="5FDA554B"/>
    <w:rsid w:val="5FE87018"/>
    <w:rsid w:val="601175AB"/>
    <w:rsid w:val="602765D8"/>
    <w:rsid w:val="602F201A"/>
    <w:rsid w:val="605F1B37"/>
    <w:rsid w:val="607C3753"/>
    <w:rsid w:val="607E6C6D"/>
    <w:rsid w:val="609578A8"/>
    <w:rsid w:val="60B07268"/>
    <w:rsid w:val="60C30855"/>
    <w:rsid w:val="60CC7FFA"/>
    <w:rsid w:val="60E63ED7"/>
    <w:rsid w:val="60F94394"/>
    <w:rsid w:val="610B17E6"/>
    <w:rsid w:val="61421EFD"/>
    <w:rsid w:val="6143737C"/>
    <w:rsid w:val="615C2588"/>
    <w:rsid w:val="615C5041"/>
    <w:rsid w:val="61834A51"/>
    <w:rsid w:val="61D705BD"/>
    <w:rsid w:val="61DD59E8"/>
    <w:rsid w:val="61E56B7B"/>
    <w:rsid w:val="61FC7DE2"/>
    <w:rsid w:val="620A1E9F"/>
    <w:rsid w:val="621F4B54"/>
    <w:rsid w:val="62420984"/>
    <w:rsid w:val="626A4C35"/>
    <w:rsid w:val="626C4E5F"/>
    <w:rsid w:val="6271154E"/>
    <w:rsid w:val="627D0863"/>
    <w:rsid w:val="62B70B91"/>
    <w:rsid w:val="63206216"/>
    <w:rsid w:val="63305DFA"/>
    <w:rsid w:val="634B3A82"/>
    <w:rsid w:val="63523344"/>
    <w:rsid w:val="63560707"/>
    <w:rsid w:val="6357067F"/>
    <w:rsid w:val="636F153A"/>
    <w:rsid w:val="63D03DEE"/>
    <w:rsid w:val="63D64F8C"/>
    <w:rsid w:val="63DD6E9C"/>
    <w:rsid w:val="63DF5BB4"/>
    <w:rsid w:val="641A2384"/>
    <w:rsid w:val="642167EE"/>
    <w:rsid w:val="648F07D6"/>
    <w:rsid w:val="64942803"/>
    <w:rsid w:val="64CB6601"/>
    <w:rsid w:val="64EF3666"/>
    <w:rsid w:val="64F83D43"/>
    <w:rsid w:val="64FC1880"/>
    <w:rsid w:val="65094EFF"/>
    <w:rsid w:val="651B3798"/>
    <w:rsid w:val="65370CD5"/>
    <w:rsid w:val="655D49E9"/>
    <w:rsid w:val="65847BBF"/>
    <w:rsid w:val="65AD63E7"/>
    <w:rsid w:val="65B57404"/>
    <w:rsid w:val="65B93A8D"/>
    <w:rsid w:val="65CA1E2C"/>
    <w:rsid w:val="65D975AE"/>
    <w:rsid w:val="661746DD"/>
    <w:rsid w:val="664805B8"/>
    <w:rsid w:val="665E34DC"/>
    <w:rsid w:val="66C053F3"/>
    <w:rsid w:val="66CD03F2"/>
    <w:rsid w:val="66D221EE"/>
    <w:rsid w:val="66DA55D7"/>
    <w:rsid w:val="66F82180"/>
    <w:rsid w:val="670F41E0"/>
    <w:rsid w:val="673B23C6"/>
    <w:rsid w:val="677D25E8"/>
    <w:rsid w:val="677D265C"/>
    <w:rsid w:val="678A787F"/>
    <w:rsid w:val="67AD6B3A"/>
    <w:rsid w:val="67BD0300"/>
    <w:rsid w:val="67D325C4"/>
    <w:rsid w:val="67DE76C4"/>
    <w:rsid w:val="68031C5B"/>
    <w:rsid w:val="682616B3"/>
    <w:rsid w:val="682A4EAB"/>
    <w:rsid w:val="68316174"/>
    <w:rsid w:val="684D34F9"/>
    <w:rsid w:val="68601901"/>
    <w:rsid w:val="68953736"/>
    <w:rsid w:val="68F250D5"/>
    <w:rsid w:val="68F533A3"/>
    <w:rsid w:val="690453B7"/>
    <w:rsid w:val="690B53E9"/>
    <w:rsid w:val="690F418B"/>
    <w:rsid w:val="69261B08"/>
    <w:rsid w:val="699323D6"/>
    <w:rsid w:val="69B32313"/>
    <w:rsid w:val="69CE4429"/>
    <w:rsid w:val="6A007B68"/>
    <w:rsid w:val="6A0409C8"/>
    <w:rsid w:val="6A700D2B"/>
    <w:rsid w:val="6A741183"/>
    <w:rsid w:val="6A7A2736"/>
    <w:rsid w:val="6A7B4B9C"/>
    <w:rsid w:val="6AA651A8"/>
    <w:rsid w:val="6AB70722"/>
    <w:rsid w:val="6AEB121D"/>
    <w:rsid w:val="6AFB78C4"/>
    <w:rsid w:val="6B004CFA"/>
    <w:rsid w:val="6B120A68"/>
    <w:rsid w:val="6B586E1F"/>
    <w:rsid w:val="6BA33532"/>
    <w:rsid w:val="6BAF5652"/>
    <w:rsid w:val="6C654611"/>
    <w:rsid w:val="6C6F4FDA"/>
    <w:rsid w:val="6C842D27"/>
    <w:rsid w:val="6C89456C"/>
    <w:rsid w:val="6C930577"/>
    <w:rsid w:val="6C9C494D"/>
    <w:rsid w:val="6CA35C83"/>
    <w:rsid w:val="6CA52710"/>
    <w:rsid w:val="6CAC58B4"/>
    <w:rsid w:val="6CDA5479"/>
    <w:rsid w:val="6D2A4FE2"/>
    <w:rsid w:val="6D304EDC"/>
    <w:rsid w:val="6D4A2539"/>
    <w:rsid w:val="6D572C9F"/>
    <w:rsid w:val="6D97094D"/>
    <w:rsid w:val="6DAE632B"/>
    <w:rsid w:val="6DBE7D5B"/>
    <w:rsid w:val="6DE66FAA"/>
    <w:rsid w:val="6DF009F6"/>
    <w:rsid w:val="6DF9140B"/>
    <w:rsid w:val="6E217EA6"/>
    <w:rsid w:val="6E2666BC"/>
    <w:rsid w:val="6E2F175D"/>
    <w:rsid w:val="6E605E8D"/>
    <w:rsid w:val="6E8959F5"/>
    <w:rsid w:val="6EBC6999"/>
    <w:rsid w:val="6EDF5FC3"/>
    <w:rsid w:val="6EEF1878"/>
    <w:rsid w:val="6EF90D33"/>
    <w:rsid w:val="6F395FBF"/>
    <w:rsid w:val="6F3F60AD"/>
    <w:rsid w:val="6F7A5D4F"/>
    <w:rsid w:val="6F7E3D42"/>
    <w:rsid w:val="6F83312B"/>
    <w:rsid w:val="6F901B66"/>
    <w:rsid w:val="6FA629D4"/>
    <w:rsid w:val="6FA70F58"/>
    <w:rsid w:val="6FD10552"/>
    <w:rsid w:val="6FFA3C1B"/>
    <w:rsid w:val="70014D67"/>
    <w:rsid w:val="70117B8A"/>
    <w:rsid w:val="701569B8"/>
    <w:rsid w:val="70360B36"/>
    <w:rsid w:val="704F39D7"/>
    <w:rsid w:val="70961A7E"/>
    <w:rsid w:val="709E0125"/>
    <w:rsid w:val="70BB2EF0"/>
    <w:rsid w:val="70CC6A1F"/>
    <w:rsid w:val="70CE0A84"/>
    <w:rsid w:val="70DE7C52"/>
    <w:rsid w:val="70E10DC3"/>
    <w:rsid w:val="70F054AD"/>
    <w:rsid w:val="71095983"/>
    <w:rsid w:val="712D59A6"/>
    <w:rsid w:val="71402F8B"/>
    <w:rsid w:val="71475ADB"/>
    <w:rsid w:val="715D0081"/>
    <w:rsid w:val="717140CF"/>
    <w:rsid w:val="718F10F7"/>
    <w:rsid w:val="71D55C91"/>
    <w:rsid w:val="71DE13EC"/>
    <w:rsid w:val="720E106F"/>
    <w:rsid w:val="722B37CD"/>
    <w:rsid w:val="72305A9A"/>
    <w:rsid w:val="72427DB1"/>
    <w:rsid w:val="726B260D"/>
    <w:rsid w:val="72C133D3"/>
    <w:rsid w:val="72E651C2"/>
    <w:rsid w:val="73287A23"/>
    <w:rsid w:val="7331324E"/>
    <w:rsid w:val="733946CF"/>
    <w:rsid w:val="73455C21"/>
    <w:rsid w:val="7362354D"/>
    <w:rsid w:val="73710635"/>
    <w:rsid w:val="73BF03A5"/>
    <w:rsid w:val="73D41A16"/>
    <w:rsid w:val="73D425F7"/>
    <w:rsid w:val="73D6575A"/>
    <w:rsid w:val="73DA63FC"/>
    <w:rsid w:val="73E636C1"/>
    <w:rsid w:val="744056EC"/>
    <w:rsid w:val="74600E53"/>
    <w:rsid w:val="74693C69"/>
    <w:rsid w:val="746A0CB1"/>
    <w:rsid w:val="74712AFB"/>
    <w:rsid w:val="74994192"/>
    <w:rsid w:val="74A31B48"/>
    <w:rsid w:val="74AC528D"/>
    <w:rsid w:val="74AD4F44"/>
    <w:rsid w:val="74B76643"/>
    <w:rsid w:val="74BC1C78"/>
    <w:rsid w:val="750A2023"/>
    <w:rsid w:val="75171C24"/>
    <w:rsid w:val="753A3707"/>
    <w:rsid w:val="75486E94"/>
    <w:rsid w:val="758D04C2"/>
    <w:rsid w:val="75AD0CCB"/>
    <w:rsid w:val="75C00603"/>
    <w:rsid w:val="75D90D83"/>
    <w:rsid w:val="75E4396D"/>
    <w:rsid w:val="75F020A1"/>
    <w:rsid w:val="760C2743"/>
    <w:rsid w:val="7615032B"/>
    <w:rsid w:val="76655349"/>
    <w:rsid w:val="76667A03"/>
    <w:rsid w:val="766E7BDC"/>
    <w:rsid w:val="7676736A"/>
    <w:rsid w:val="768F29EE"/>
    <w:rsid w:val="76926203"/>
    <w:rsid w:val="76933951"/>
    <w:rsid w:val="76A901E4"/>
    <w:rsid w:val="76F54F87"/>
    <w:rsid w:val="771D661B"/>
    <w:rsid w:val="771F7714"/>
    <w:rsid w:val="77207795"/>
    <w:rsid w:val="773903BD"/>
    <w:rsid w:val="773F662A"/>
    <w:rsid w:val="77617342"/>
    <w:rsid w:val="7780144A"/>
    <w:rsid w:val="77890DAA"/>
    <w:rsid w:val="779319D7"/>
    <w:rsid w:val="77D835AD"/>
    <w:rsid w:val="77EE2F48"/>
    <w:rsid w:val="77F10205"/>
    <w:rsid w:val="784E332E"/>
    <w:rsid w:val="78782A0D"/>
    <w:rsid w:val="78AE29A0"/>
    <w:rsid w:val="78C57EA9"/>
    <w:rsid w:val="78CA6BEF"/>
    <w:rsid w:val="78CF1586"/>
    <w:rsid w:val="791A571A"/>
    <w:rsid w:val="79286132"/>
    <w:rsid w:val="796411DB"/>
    <w:rsid w:val="797E392B"/>
    <w:rsid w:val="798955B6"/>
    <w:rsid w:val="799648AA"/>
    <w:rsid w:val="79A2171F"/>
    <w:rsid w:val="79A252FF"/>
    <w:rsid w:val="79D33056"/>
    <w:rsid w:val="79E119BE"/>
    <w:rsid w:val="79E65B55"/>
    <w:rsid w:val="79E76BC3"/>
    <w:rsid w:val="79F46E3A"/>
    <w:rsid w:val="7A0131C9"/>
    <w:rsid w:val="7A0E722C"/>
    <w:rsid w:val="7A124C14"/>
    <w:rsid w:val="7A475E69"/>
    <w:rsid w:val="7A6A3147"/>
    <w:rsid w:val="7A810C37"/>
    <w:rsid w:val="7ABB10EE"/>
    <w:rsid w:val="7B105707"/>
    <w:rsid w:val="7B302E56"/>
    <w:rsid w:val="7B350C9D"/>
    <w:rsid w:val="7B7B2609"/>
    <w:rsid w:val="7B7D36B3"/>
    <w:rsid w:val="7B9741C7"/>
    <w:rsid w:val="7BD27B88"/>
    <w:rsid w:val="7C0A1E29"/>
    <w:rsid w:val="7C1E1AF3"/>
    <w:rsid w:val="7C26369C"/>
    <w:rsid w:val="7C311CA7"/>
    <w:rsid w:val="7C3933DF"/>
    <w:rsid w:val="7C4A37AF"/>
    <w:rsid w:val="7C590E02"/>
    <w:rsid w:val="7C9E5A24"/>
    <w:rsid w:val="7CAC00CB"/>
    <w:rsid w:val="7CBE2557"/>
    <w:rsid w:val="7CE73C35"/>
    <w:rsid w:val="7CFB794F"/>
    <w:rsid w:val="7D022178"/>
    <w:rsid w:val="7D575412"/>
    <w:rsid w:val="7D62117D"/>
    <w:rsid w:val="7D7E5CB0"/>
    <w:rsid w:val="7D83197B"/>
    <w:rsid w:val="7D9D4B2B"/>
    <w:rsid w:val="7DB3208B"/>
    <w:rsid w:val="7DB5193A"/>
    <w:rsid w:val="7DB54254"/>
    <w:rsid w:val="7DE55867"/>
    <w:rsid w:val="7E181D7D"/>
    <w:rsid w:val="7E2118A1"/>
    <w:rsid w:val="7E3E1EF2"/>
    <w:rsid w:val="7E4B337A"/>
    <w:rsid w:val="7E5E744E"/>
    <w:rsid w:val="7E951513"/>
    <w:rsid w:val="7EA96AC5"/>
    <w:rsid w:val="7EB06086"/>
    <w:rsid w:val="7EBE5470"/>
    <w:rsid w:val="7EC118B4"/>
    <w:rsid w:val="7EC83404"/>
    <w:rsid w:val="7ED01B68"/>
    <w:rsid w:val="7EF74FC9"/>
    <w:rsid w:val="7F12759F"/>
    <w:rsid w:val="7F1626A0"/>
    <w:rsid w:val="7F3745CA"/>
    <w:rsid w:val="7F5A59DA"/>
    <w:rsid w:val="7F653669"/>
    <w:rsid w:val="7F750737"/>
    <w:rsid w:val="7F846976"/>
    <w:rsid w:val="7F96461A"/>
    <w:rsid w:val="7FA01201"/>
    <w:rsid w:val="7FB901DB"/>
    <w:rsid w:val="7FBB72CB"/>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0" w:name="header"/>
    <w:lsdException w:qFormat="1" w:uiPriority="99" w:semiHidden="0" w:name="footer"/>
    <w:lsdException w:uiPriority="99" w:name="index heading"/>
    <w:lsdException w:qFormat="1" w:uiPriority="99" w:semiHidden="0"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9"/>
    <w:pPr>
      <w:numPr>
        <w:ilvl w:val="1"/>
      </w:numPr>
      <w:pBdr>
        <w:top w:val="none" w:color="auto" w:sz="0" w:space="0"/>
      </w:pBdr>
      <w:spacing w:before="180"/>
      <w:ind w:right="100" w:rightChars="100"/>
      <w:jc w:val="left"/>
      <w:outlineLvl w:val="1"/>
    </w:pPr>
    <w:rPr>
      <w:sz w:val="20"/>
    </w:rPr>
  </w:style>
  <w:style w:type="paragraph" w:styleId="4">
    <w:name w:val="heading 3"/>
    <w:basedOn w:val="3"/>
    <w:next w:val="1"/>
    <w:qFormat/>
    <w:uiPriority w:val="0"/>
    <w:pPr>
      <w:numPr>
        <w:ilvl w:val="2"/>
      </w:numPr>
      <w:spacing w:before="120"/>
      <w:outlineLvl w:val="2"/>
    </w:pPr>
  </w:style>
  <w:style w:type="paragraph" w:styleId="5">
    <w:name w:val="heading 4"/>
    <w:basedOn w:val="1"/>
    <w:next w:val="1"/>
    <w:link w:val="74"/>
    <w:unhideWhenUsed/>
    <w:qFormat/>
    <w:uiPriority w:val="9"/>
    <w:pPr>
      <w:keepNext/>
      <w:keepLines/>
      <w:spacing w:before="40" w:beforeLines="0" w:after="0" w:afterLines="0" w:line="240" w:lineRule="auto"/>
      <w:ind w:left="864" w:hanging="864"/>
      <w:jc w:val="left"/>
      <w:outlineLvl w:val="3"/>
    </w:pPr>
    <w:rPr>
      <w:rFonts w:eastAsiaTheme="majorEastAsia" w:cstheme="minorHAnsi"/>
      <w:bCs/>
      <w:kern w:val="0"/>
      <w:sz w:val="20"/>
      <w:lang w:val="en-GB" w:eastAsia="en-US"/>
    </w:rPr>
  </w:style>
  <w:style w:type="paragraph" w:styleId="6">
    <w:name w:val="heading 5"/>
    <w:basedOn w:val="1"/>
    <w:next w:val="1"/>
    <w:link w:val="75"/>
    <w:semiHidden/>
    <w:unhideWhenUsed/>
    <w:qFormat/>
    <w:uiPriority w:val="9"/>
    <w:pPr>
      <w:keepNext/>
      <w:keepLines/>
      <w:spacing w:before="40" w:beforeLines="0" w:after="0" w:afterLines="0" w:line="240" w:lineRule="auto"/>
      <w:ind w:left="1008" w:hanging="1008"/>
      <w:jc w:val="left"/>
      <w:outlineLvl w:val="4"/>
    </w:pPr>
    <w:rPr>
      <w:rFonts w:asciiTheme="majorHAnsi" w:hAnsiTheme="majorHAnsi" w:eastAsiaTheme="majorEastAsia" w:cstheme="majorBidi"/>
      <w:color w:val="376092" w:themeColor="accent1" w:themeShade="BF"/>
      <w:kern w:val="0"/>
      <w:sz w:val="20"/>
      <w:lang w:val="en-GB" w:eastAsia="en-US"/>
    </w:rPr>
  </w:style>
  <w:style w:type="paragraph" w:styleId="7">
    <w:name w:val="heading 6"/>
    <w:basedOn w:val="1"/>
    <w:next w:val="1"/>
    <w:link w:val="76"/>
    <w:semiHidden/>
    <w:unhideWhenUsed/>
    <w:qFormat/>
    <w:uiPriority w:val="9"/>
    <w:pPr>
      <w:keepNext/>
      <w:keepLines/>
      <w:spacing w:before="40" w:beforeLines="0" w:after="0" w:afterLines="0" w:line="240" w:lineRule="auto"/>
      <w:ind w:left="1152" w:hanging="1152"/>
      <w:jc w:val="left"/>
      <w:outlineLvl w:val="5"/>
    </w:pPr>
    <w:rPr>
      <w:rFonts w:asciiTheme="majorHAnsi" w:hAnsiTheme="majorHAnsi" w:eastAsiaTheme="majorEastAsia" w:cstheme="majorBidi"/>
      <w:color w:val="254061" w:themeColor="accent1" w:themeShade="80"/>
      <w:kern w:val="0"/>
      <w:sz w:val="20"/>
      <w:lang w:val="en-GB" w:eastAsia="en-US"/>
    </w:rPr>
  </w:style>
  <w:style w:type="paragraph" w:styleId="8">
    <w:name w:val="heading 7"/>
    <w:basedOn w:val="1"/>
    <w:next w:val="1"/>
    <w:link w:val="77"/>
    <w:semiHidden/>
    <w:unhideWhenUsed/>
    <w:qFormat/>
    <w:uiPriority w:val="9"/>
    <w:pPr>
      <w:keepNext/>
      <w:keepLines/>
      <w:spacing w:before="40" w:beforeLines="0" w:after="0" w:afterLines="0" w:line="240" w:lineRule="auto"/>
      <w:ind w:left="1296" w:hanging="1296"/>
      <w:jc w:val="left"/>
      <w:outlineLvl w:val="6"/>
    </w:pPr>
    <w:rPr>
      <w:rFonts w:asciiTheme="majorHAnsi" w:hAnsiTheme="majorHAnsi" w:eastAsiaTheme="majorEastAsia" w:cstheme="majorBidi"/>
      <w:i/>
      <w:iCs/>
      <w:color w:val="254061" w:themeColor="accent1" w:themeShade="80"/>
      <w:kern w:val="0"/>
      <w:sz w:val="20"/>
      <w:lang w:val="en-GB" w:eastAsia="en-US"/>
    </w:rPr>
  </w:style>
  <w:style w:type="paragraph" w:styleId="9">
    <w:name w:val="heading 8"/>
    <w:basedOn w:val="1"/>
    <w:next w:val="1"/>
    <w:link w:val="78"/>
    <w:semiHidden/>
    <w:unhideWhenUsed/>
    <w:qFormat/>
    <w:uiPriority w:val="9"/>
    <w:pPr>
      <w:keepNext/>
      <w:keepLines/>
      <w:spacing w:before="40" w:beforeLines="0" w:after="0" w:afterLines="0" w:line="240" w:lineRule="auto"/>
      <w:ind w:left="1440" w:hanging="1440"/>
      <w:jc w:val="left"/>
      <w:outlineLvl w:val="7"/>
    </w:pPr>
    <w:rPr>
      <w:rFonts w:asciiTheme="majorHAnsi" w:hAnsiTheme="majorHAnsi" w:eastAsiaTheme="majorEastAsia" w:cstheme="majorBidi"/>
      <w:color w:val="262626" w:themeColor="text1" w:themeTint="D9"/>
      <w:kern w:val="0"/>
      <w:szCs w:val="21"/>
      <w:lang w:val="en-GB" w:eastAsia="en-US"/>
      <w14:textFill>
        <w14:solidFill>
          <w14:schemeClr w14:val="tx1">
            <w14:lumMod w14:val="85000"/>
            <w14:lumOff w14:val="15000"/>
          </w14:schemeClr>
        </w14:solidFill>
      </w14:textFill>
    </w:rPr>
  </w:style>
  <w:style w:type="paragraph" w:styleId="10">
    <w:name w:val="heading 9"/>
    <w:basedOn w:val="1"/>
    <w:next w:val="1"/>
    <w:link w:val="79"/>
    <w:semiHidden/>
    <w:unhideWhenUsed/>
    <w:qFormat/>
    <w:uiPriority w:val="9"/>
    <w:pPr>
      <w:keepNext/>
      <w:keepLines/>
      <w:spacing w:before="40" w:beforeLines="0" w:after="0" w:afterLines="0" w:line="240" w:lineRule="auto"/>
      <w:ind w:left="1584" w:hanging="1584"/>
      <w:jc w:val="left"/>
      <w:outlineLvl w:val="8"/>
    </w:pPr>
    <w:rPr>
      <w:rFonts w:asciiTheme="majorHAnsi" w:hAnsiTheme="majorHAnsi" w:eastAsiaTheme="majorEastAsia" w:cstheme="majorBidi"/>
      <w:i/>
      <w:iCs/>
      <w:color w:val="262626" w:themeColor="text1" w:themeTint="D9"/>
      <w:kern w:val="0"/>
      <w:szCs w:val="21"/>
      <w:lang w:val="en-GB" w:eastAsia="en-US"/>
      <w14:textFill>
        <w14:solidFill>
          <w14:schemeClr w14:val="tx1">
            <w14:lumMod w14:val="85000"/>
            <w14:lumOff w14:val="15000"/>
          </w14:schemeClr>
        </w14:solidFill>
      </w14:textFill>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semiHidden/>
    <w:unhideWhenUsed/>
    <w:qFormat/>
    <w:uiPriority w:val="99"/>
    <w:pPr>
      <w:ind w:left="100" w:leftChars="200" w:hanging="200" w:hangingChars="200"/>
      <w:contextualSpacing/>
    </w:pPr>
  </w:style>
  <w:style w:type="paragraph" w:styleId="13">
    <w:name w:val="List"/>
    <w:basedOn w:val="1"/>
    <w:qFormat/>
    <w:uiPriority w:val="0"/>
    <w:pPr>
      <w:ind w:left="568" w:hanging="284"/>
    </w:pPr>
  </w:style>
  <w:style w:type="paragraph" w:styleId="14">
    <w:name w:val="caption"/>
    <w:basedOn w:val="1"/>
    <w:next w:val="1"/>
    <w:unhideWhenUsed/>
    <w:qFormat/>
    <w:uiPriority w:val="99"/>
    <w:rPr>
      <w:rFonts w:ascii="Arial" w:hAnsi="Arial" w:eastAsia="黑体"/>
      <w:sz w:val="20"/>
    </w:rPr>
  </w:style>
  <w:style w:type="paragraph" w:styleId="15">
    <w:name w:val="annotation text"/>
    <w:basedOn w:val="1"/>
    <w:link w:val="50"/>
    <w:semiHidden/>
    <w:qFormat/>
    <w:uiPriority w:val="0"/>
  </w:style>
  <w:style w:type="paragraph" w:styleId="16">
    <w:name w:val="Body Text"/>
    <w:basedOn w:val="1"/>
    <w:qFormat/>
    <w:uiPriority w:val="0"/>
  </w:style>
  <w:style w:type="paragraph" w:styleId="17">
    <w:name w:val="toc 3"/>
    <w:basedOn w:val="1"/>
    <w:next w:val="1"/>
    <w:unhideWhenUsed/>
    <w:qFormat/>
    <w:uiPriority w:val="99"/>
    <w:pPr>
      <w:adjustRightInd w:val="0"/>
      <w:ind w:left="1282" w:leftChars="400" w:hanging="442" w:hangingChars="200"/>
    </w:pPr>
    <w:rPr>
      <w:b/>
      <w:i/>
      <w:sz w:val="20"/>
    </w:rPr>
  </w:style>
  <w:style w:type="paragraph" w:styleId="18">
    <w:name w:val="Balloon Text"/>
    <w:basedOn w:val="1"/>
    <w:link w:val="49"/>
    <w:semiHidden/>
    <w:unhideWhenUsed/>
    <w:qFormat/>
    <w:uiPriority w:val="99"/>
    <w:pPr>
      <w:spacing w:before="0" w:after="0" w:line="240" w:lineRule="auto"/>
    </w:pPr>
    <w:rPr>
      <w:rFonts w:ascii="Microsoft YaHei UI" w:eastAsia="Microsoft YaHei UI"/>
      <w:sz w:val="18"/>
      <w:szCs w:val="18"/>
    </w:rPr>
  </w:style>
  <w:style w:type="paragraph" w:styleId="19">
    <w:name w:val="footer"/>
    <w:basedOn w:val="1"/>
    <w:unhideWhenUsed/>
    <w:qFormat/>
    <w:uiPriority w:val="99"/>
    <w:pPr>
      <w:tabs>
        <w:tab w:val="center" w:pos="4153"/>
        <w:tab w:val="right" w:pos="8306"/>
      </w:tabs>
      <w:snapToGrid w:val="0"/>
      <w:jc w:val="left"/>
    </w:pPr>
    <w:rPr>
      <w:sz w:val="18"/>
      <w:szCs w:val="18"/>
    </w:rPr>
  </w:style>
  <w:style w:type="paragraph" w:styleId="20">
    <w:name w:val="header"/>
    <w:basedOn w:val="1"/>
    <w:link w:val="52"/>
    <w:semiHidden/>
    <w:qFormat/>
    <w:uiPriority w:val="0"/>
    <w:pPr>
      <w:tabs>
        <w:tab w:val="center" w:pos="4680"/>
        <w:tab w:val="right" w:pos="9360"/>
      </w:tabs>
      <w:spacing w:before="0" w:after="0" w:line="240" w:lineRule="auto"/>
    </w:pPr>
  </w:style>
  <w:style w:type="paragraph" w:styleId="21">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22">
    <w:name w:val="table of figures"/>
    <w:basedOn w:val="1"/>
    <w:next w:val="1"/>
    <w:semiHidden/>
    <w:unhideWhenUsed/>
    <w:qFormat/>
    <w:uiPriority w:val="99"/>
    <w:pPr>
      <w:ind w:left="200" w:leftChars="200" w:hanging="200" w:hangingChars="200"/>
    </w:pPr>
  </w:style>
  <w:style w:type="paragraph" w:styleId="23">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4">
    <w:name w:val="List 4"/>
    <w:basedOn w:val="11"/>
    <w:qFormat/>
    <w:uiPriority w:val="0"/>
    <w:pPr>
      <w:ind w:left="1418"/>
    </w:pPr>
  </w:style>
  <w:style w:type="paragraph" w:styleId="25">
    <w:name w:val="Normal (Web)"/>
    <w:basedOn w:val="1"/>
    <w:unhideWhenUsed/>
    <w:qFormat/>
    <w:uiPriority w:val="99"/>
    <w:pPr>
      <w:spacing w:after="0"/>
      <w:jc w:val="left"/>
    </w:pPr>
    <w:rPr>
      <w:rFonts w:ascii="宋体" w:hAnsi="宋体" w:cs="宋体"/>
      <w:sz w:val="24"/>
      <w:szCs w:val="24"/>
    </w:rPr>
  </w:style>
  <w:style w:type="paragraph" w:styleId="26">
    <w:name w:val="annotation subject"/>
    <w:basedOn w:val="15"/>
    <w:next w:val="15"/>
    <w:link w:val="51"/>
    <w:semiHidden/>
    <w:unhideWhenUsed/>
    <w:qFormat/>
    <w:uiPriority w:val="99"/>
    <w:pPr>
      <w:spacing w:line="240" w:lineRule="auto"/>
    </w:pPr>
    <w:rPr>
      <w:b/>
      <w:bCs/>
      <w:sz w:val="20"/>
    </w:rPr>
  </w:style>
  <w:style w:type="table" w:styleId="28">
    <w:name w:val="Table Grid"/>
    <w:basedOn w:val="2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99"/>
    <w:rPr>
      <w:b/>
      <w:sz w:val="20"/>
      <w:szCs w:val="20"/>
      <w:shd w:val="clear" w:color="auto" w:fill="00A65A"/>
    </w:rPr>
  </w:style>
  <w:style w:type="character" w:styleId="31">
    <w:name w:val="FollowedHyperlink"/>
    <w:basedOn w:val="29"/>
    <w:semiHidden/>
    <w:unhideWhenUsed/>
    <w:qFormat/>
    <w:uiPriority w:val="99"/>
    <w:rPr>
      <w:color w:val="409EFF"/>
      <w:u w:val="none"/>
    </w:rPr>
  </w:style>
  <w:style w:type="character" w:styleId="32">
    <w:name w:val="HTML Definition"/>
    <w:basedOn w:val="29"/>
    <w:semiHidden/>
    <w:unhideWhenUsed/>
    <w:qFormat/>
    <w:uiPriority w:val="99"/>
    <w:rPr>
      <w:i/>
      <w:shd w:val="clear" w:color="auto" w:fill="FFFFFF"/>
    </w:rPr>
  </w:style>
  <w:style w:type="character" w:styleId="33">
    <w:name w:val="Hyperlink"/>
    <w:basedOn w:val="29"/>
    <w:unhideWhenUsed/>
    <w:qFormat/>
    <w:uiPriority w:val="99"/>
    <w:rPr>
      <w:color w:val="409EFF"/>
      <w:u w:val="none"/>
    </w:rPr>
  </w:style>
  <w:style w:type="character" w:styleId="34">
    <w:name w:val="HTML Code"/>
    <w:basedOn w:val="29"/>
    <w:semiHidden/>
    <w:unhideWhenUsed/>
    <w:qFormat/>
    <w:uiPriority w:val="99"/>
    <w:rPr>
      <w:rFonts w:hint="default" w:ascii="Consolas" w:hAnsi="Consolas" w:eastAsia="Consolas" w:cs="Consolas"/>
      <w:color w:val="C7254E"/>
      <w:sz w:val="21"/>
      <w:szCs w:val="21"/>
      <w:shd w:val="clear" w:color="auto" w:fill="F9F2F4"/>
    </w:rPr>
  </w:style>
  <w:style w:type="character" w:styleId="35">
    <w:name w:val="annotation reference"/>
    <w:basedOn w:val="29"/>
    <w:semiHidden/>
    <w:unhideWhenUsed/>
    <w:qFormat/>
    <w:uiPriority w:val="99"/>
    <w:rPr>
      <w:sz w:val="16"/>
      <w:szCs w:val="16"/>
    </w:rPr>
  </w:style>
  <w:style w:type="character" w:styleId="36">
    <w:name w:val="HTML Keyboard"/>
    <w:basedOn w:val="29"/>
    <w:semiHidden/>
    <w:unhideWhenUsed/>
    <w:qFormat/>
    <w:uiPriority w:val="99"/>
    <w:rPr>
      <w:rFonts w:ascii="Consolas" w:hAnsi="Consolas" w:eastAsia="Consolas" w:cs="Consolas"/>
      <w:color w:val="FFFFFF"/>
      <w:sz w:val="21"/>
      <w:szCs w:val="21"/>
      <w:shd w:val="clear" w:color="auto" w:fill="333333"/>
    </w:rPr>
  </w:style>
  <w:style w:type="character" w:styleId="37">
    <w:name w:val="HTML Sample"/>
    <w:basedOn w:val="29"/>
    <w:semiHidden/>
    <w:unhideWhenUsed/>
    <w:qFormat/>
    <w:uiPriority w:val="99"/>
    <w:rPr>
      <w:rFonts w:hint="default" w:ascii="Consolas" w:hAnsi="Consolas" w:eastAsia="Consolas" w:cs="Consolas"/>
      <w:sz w:val="21"/>
      <w:szCs w:val="21"/>
    </w:rPr>
  </w:style>
  <w:style w:type="paragraph" w:customStyle="1" w:styleId="38">
    <w:name w:val="YJ-Observation"/>
    <w:basedOn w:val="39"/>
    <w:qFormat/>
    <w:uiPriority w:val="0"/>
    <w:pPr>
      <w:numPr>
        <w:ilvl w:val="0"/>
        <w:numId w:val="2"/>
      </w:numPr>
      <w:tabs>
        <w:tab w:val="left" w:pos="420"/>
      </w:tabs>
    </w:pPr>
  </w:style>
  <w:style w:type="paragraph" w:customStyle="1" w:styleId="39">
    <w:name w:val="YJ-Proposal"/>
    <w:basedOn w:val="1"/>
    <w:qFormat/>
    <w:uiPriority w:val="0"/>
    <w:pPr>
      <w:numPr>
        <w:ilvl w:val="0"/>
        <w:numId w:val="3"/>
      </w:numPr>
      <w:jc w:val="left"/>
    </w:pPr>
    <w:rPr>
      <w:rFonts w:eastAsiaTheme="minorEastAsia"/>
      <w:b/>
      <w:bCs/>
      <w:i/>
      <w:iCs/>
      <w:sz w:val="20"/>
      <w:lang w:val="en-GB" w:eastAsia="en-US"/>
    </w:rPr>
  </w:style>
  <w:style w:type="paragraph" w:customStyle="1" w:styleId="40">
    <w:name w:val="sub-proposal"/>
    <w:basedOn w:val="39"/>
    <w:next w:val="1"/>
    <w:qFormat/>
    <w:uiPriority w:val="0"/>
    <w:pPr>
      <w:numPr>
        <w:numId w:val="4"/>
      </w:numPr>
      <w:tabs>
        <w:tab w:val="left" w:pos="420"/>
        <w:tab w:val="left" w:pos="807"/>
      </w:tabs>
      <w:ind w:left="862" w:leftChars="200" w:hanging="442" w:hangingChars="200"/>
    </w:pPr>
  </w:style>
  <w:style w:type="paragraph" w:customStyle="1" w:styleId="41">
    <w:name w:val="sub-observation"/>
    <w:basedOn w:val="40"/>
    <w:next w:val="1"/>
    <w:qFormat/>
    <w:uiPriority w:val="0"/>
  </w:style>
  <w:style w:type="paragraph" w:customStyle="1" w:styleId="42">
    <w:name w:val="3rd level proposal"/>
    <w:basedOn w:val="40"/>
    <w:next w:val="1"/>
    <w:qFormat/>
    <w:uiPriority w:val="0"/>
    <w:pPr>
      <w:numPr>
        <w:ilvl w:val="0"/>
        <w:numId w:val="5"/>
      </w:numPr>
      <w:ind w:left="1282" w:leftChars="400" w:hanging="442"/>
    </w:pPr>
  </w:style>
  <w:style w:type="paragraph" w:customStyle="1" w:styleId="43">
    <w:name w:val="3rd level observation"/>
    <w:basedOn w:val="41"/>
    <w:qFormat/>
    <w:uiPriority w:val="0"/>
    <w:pPr>
      <w:numPr>
        <w:ilvl w:val="0"/>
        <w:numId w:val="6"/>
      </w:numPr>
      <w:ind w:left="1282" w:leftChars="400" w:hanging="442"/>
    </w:pPr>
  </w:style>
  <w:style w:type="paragraph" w:customStyle="1" w:styleId="44">
    <w:name w:val="References"/>
    <w:basedOn w:val="1"/>
    <w:qFormat/>
    <w:uiPriority w:val="0"/>
    <w:pPr>
      <w:numPr>
        <w:ilvl w:val="0"/>
        <w:numId w:val="7"/>
      </w:numPr>
      <w:spacing w:after="60"/>
    </w:pPr>
    <w:rPr>
      <w:szCs w:val="16"/>
    </w:rPr>
  </w:style>
  <w:style w:type="paragraph" w:styleId="45">
    <w:name w:val="List Paragraph"/>
    <w:basedOn w:val="1"/>
    <w:link w:val="72"/>
    <w:qFormat/>
    <w:uiPriority w:val="34"/>
    <w:pPr>
      <w:spacing w:beforeLines="0" w:after="0" w:line="240" w:lineRule="auto"/>
      <w:ind w:left="720"/>
      <w:contextualSpacing/>
    </w:pPr>
    <w:rPr>
      <w:rFonts w:eastAsia="Times New Roman"/>
      <w:sz w:val="24"/>
      <w:szCs w:val="24"/>
    </w:rPr>
  </w:style>
  <w:style w:type="paragraph" w:customStyle="1" w:styleId="46">
    <w:name w:val="样式1"/>
    <w:basedOn w:val="1"/>
    <w:qFormat/>
    <w:uiPriority w:val="0"/>
  </w:style>
  <w:style w:type="paragraph" w:customStyle="1" w:styleId="47">
    <w:name w:val="样式2"/>
    <w:basedOn w:val="1"/>
    <w:qFormat/>
    <w:uiPriority w:val="0"/>
  </w:style>
  <w:style w:type="character" w:customStyle="1" w:styleId="48">
    <w:name w:val="apple-converted-space"/>
    <w:basedOn w:val="29"/>
    <w:qFormat/>
    <w:uiPriority w:val="0"/>
  </w:style>
  <w:style w:type="character" w:customStyle="1" w:styleId="49">
    <w:name w:val="批注框文本 Char"/>
    <w:basedOn w:val="29"/>
    <w:link w:val="18"/>
    <w:semiHidden/>
    <w:qFormat/>
    <w:uiPriority w:val="99"/>
    <w:rPr>
      <w:rFonts w:ascii="Microsoft YaHei UI" w:eastAsia="Microsoft YaHei UI"/>
      <w:kern w:val="2"/>
      <w:sz w:val="18"/>
      <w:szCs w:val="18"/>
    </w:rPr>
  </w:style>
  <w:style w:type="character" w:customStyle="1" w:styleId="50">
    <w:name w:val="批注文字 Char"/>
    <w:basedOn w:val="29"/>
    <w:link w:val="15"/>
    <w:semiHidden/>
    <w:qFormat/>
    <w:uiPriority w:val="0"/>
    <w:rPr>
      <w:kern w:val="2"/>
      <w:sz w:val="21"/>
    </w:rPr>
  </w:style>
  <w:style w:type="character" w:customStyle="1" w:styleId="51">
    <w:name w:val="批注主题 Char"/>
    <w:basedOn w:val="50"/>
    <w:link w:val="26"/>
    <w:semiHidden/>
    <w:qFormat/>
    <w:uiPriority w:val="99"/>
    <w:rPr>
      <w:b/>
      <w:bCs/>
      <w:kern w:val="2"/>
      <w:sz w:val="21"/>
    </w:rPr>
  </w:style>
  <w:style w:type="character" w:customStyle="1" w:styleId="52">
    <w:name w:val="页眉 Char"/>
    <w:basedOn w:val="29"/>
    <w:link w:val="20"/>
    <w:semiHidden/>
    <w:qFormat/>
    <w:uiPriority w:val="0"/>
    <w:rPr>
      <w:kern w:val="2"/>
      <w:sz w:val="21"/>
    </w:rPr>
  </w:style>
  <w:style w:type="character" w:customStyle="1" w:styleId="53">
    <w:name w:val="badge58"/>
    <w:basedOn w:val="29"/>
    <w:qFormat/>
    <w:uiPriority w:val="0"/>
    <w:rPr>
      <w:b/>
      <w:color w:val="FFFFFF"/>
      <w:sz w:val="24"/>
      <w:szCs w:val="24"/>
      <w:shd w:val="clear" w:color="auto" w:fill="001F3F"/>
    </w:rPr>
  </w:style>
  <w:style w:type="character" w:customStyle="1" w:styleId="54">
    <w:name w:val="hover16"/>
    <w:basedOn w:val="29"/>
    <w:qFormat/>
    <w:uiPriority w:val="0"/>
    <w:rPr>
      <w:shd w:val="clear" w:color="auto" w:fill="EEEEEE"/>
    </w:rPr>
  </w:style>
  <w:style w:type="character" w:customStyle="1" w:styleId="55">
    <w:name w:val="active3"/>
    <w:basedOn w:val="29"/>
    <w:qFormat/>
    <w:uiPriority w:val="0"/>
    <w:rPr>
      <w:color w:val="FFFFFF"/>
      <w:shd w:val="clear" w:color="auto" w:fill="006DCC"/>
    </w:rPr>
  </w:style>
  <w:style w:type="character" w:customStyle="1" w:styleId="56">
    <w:name w:val="old"/>
    <w:basedOn w:val="29"/>
    <w:qFormat/>
    <w:uiPriority w:val="0"/>
    <w:rPr>
      <w:color w:val="999999"/>
    </w:rPr>
  </w:style>
  <w:style w:type="character" w:customStyle="1" w:styleId="57">
    <w:name w:val="via1"/>
    <w:basedOn w:val="29"/>
    <w:qFormat/>
    <w:uiPriority w:val="0"/>
    <w:rPr>
      <w:color w:val="959595"/>
    </w:rPr>
  </w:style>
  <w:style w:type="character" w:customStyle="1" w:styleId="58">
    <w:name w:val="keyword1"/>
    <w:basedOn w:val="29"/>
    <w:qFormat/>
    <w:uiPriority w:val="0"/>
  </w:style>
  <w:style w:type="character" w:customStyle="1" w:styleId="59">
    <w:name w:val="badge57"/>
    <w:basedOn w:val="29"/>
    <w:qFormat/>
    <w:uiPriority w:val="0"/>
    <w:rPr>
      <w:b/>
      <w:color w:val="FFFFFF"/>
      <w:sz w:val="24"/>
      <w:szCs w:val="24"/>
      <w:shd w:val="clear" w:color="auto" w:fill="001F3F"/>
    </w:rPr>
  </w:style>
  <w:style w:type="character" w:customStyle="1" w:styleId="60">
    <w:name w:val="active1"/>
    <w:basedOn w:val="29"/>
    <w:qFormat/>
    <w:uiPriority w:val="0"/>
    <w:rPr>
      <w:color w:val="FFFFFF"/>
      <w:shd w:val="clear" w:color="auto" w:fill="006DCC"/>
    </w:rPr>
  </w:style>
  <w:style w:type="character" w:customStyle="1" w:styleId="61">
    <w:name w:val="badge56"/>
    <w:basedOn w:val="29"/>
    <w:qFormat/>
    <w:uiPriority w:val="0"/>
    <w:rPr>
      <w:b/>
      <w:color w:val="FFFFFF"/>
      <w:sz w:val="24"/>
      <w:szCs w:val="24"/>
      <w:shd w:val="clear" w:color="auto" w:fill="001F3F"/>
    </w:rPr>
  </w:style>
  <w:style w:type="character" w:customStyle="1" w:styleId="62">
    <w:name w:val="hover14"/>
    <w:basedOn w:val="29"/>
    <w:qFormat/>
    <w:uiPriority w:val="0"/>
    <w:rPr>
      <w:shd w:val="clear" w:color="auto" w:fill="EEEEEE"/>
    </w:rPr>
  </w:style>
  <w:style w:type="paragraph" w:customStyle="1" w:styleId="63">
    <w:name w:val="修订1"/>
    <w:hidden/>
    <w:semiHidden/>
    <w:qFormat/>
    <w:uiPriority w:val="99"/>
    <w:rPr>
      <w:rFonts w:ascii="Times New Roman" w:hAnsi="Times New Roman" w:eastAsia="宋体" w:cs="Times New Roman"/>
      <w:kern w:val="2"/>
      <w:sz w:val="21"/>
      <w:lang w:val="en-US" w:eastAsia="zh-CN" w:bidi="ar-SA"/>
    </w:rPr>
  </w:style>
  <w:style w:type="character" w:customStyle="1" w:styleId="64">
    <w:name w:val="hover15"/>
    <w:basedOn w:val="29"/>
    <w:qFormat/>
    <w:uiPriority w:val="0"/>
    <w:rPr>
      <w:shd w:val="clear" w:color="auto" w:fill="EEEEEE"/>
    </w:rPr>
  </w:style>
  <w:style w:type="paragraph" w:customStyle="1" w:styleId="65">
    <w:name w:val="Default"/>
    <w:unhideWhenUsed/>
    <w:qFormat/>
    <w:uiPriority w:val="99"/>
    <w:pPr>
      <w:widowControl w:val="0"/>
      <w:autoSpaceDE w:val="0"/>
      <w:autoSpaceDN w:val="0"/>
      <w:adjustRightInd w:val="0"/>
      <w:spacing w:after="160" w:line="259" w:lineRule="auto"/>
    </w:pPr>
    <w:rPr>
      <w:rFonts w:hint="eastAsia" w:ascii="Times New Roman" w:hAnsi="Times New Roman" w:eastAsia="Times New Roman" w:cs="Times New Roman"/>
      <w:color w:val="000000"/>
      <w:sz w:val="24"/>
      <w:lang w:val="en-US" w:eastAsia="zh-CN" w:bidi="ar-SA"/>
    </w:rPr>
  </w:style>
  <w:style w:type="character" w:customStyle="1" w:styleId="66">
    <w:name w:val="hover"/>
    <w:basedOn w:val="29"/>
    <w:qFormat/>
    <w:uiPriority w:val="0"/>
    <w:rPr>
      <w:shd w:val="clear" w:color="auto" w:fill="EEEEEE"/>
    </w:rPr>
  </w:style>
  <w:style w:type="paragraph" w:customStyle="1" w:styleId="67">
    <w:name w:val="TAL"/>
    <w:basedOn w:val="1"/>
    <w:qFormat/>
    <w:uiPriority w:val="0"/>
    <w:pPr>
      <w:keepNext/>
      <w:keepLines/>
      <w:spacing w:after="0"/>
    </w:pPr>
    <w:rPr>
      <w:rFonts w:ascii="Arial" w:hAnsi="Arial"/>
      <w:sz w:val="18"/>
    </w:rPr>
  </w:style>
  <w:style w:type="character" w:customStyle="1" w:styleId="68">
    <w:name w:val="badge55"/>
    <w:basedOn w:val="29"/>
    <w:qFormat/>
    <w:uiPriority w:val="0"/>
    <w:rPr>
      <w:b/>
      <w:color w:val="FFFFFF"/>
      <w:sz w:val="24"/>
      <w:szCs w:val="24"/>
      <w:shd w:val="clear" w:color="auto" w:fill="001F3F"/>
    </w:rPr>
  </w:style>
  <w:style w:type="character" w:customStyle="1" w:styleId="69">
    <w:name w:val="active"/>
    <w:basedOn w:val="29"/>
    <w:qFormat/>
    <w:uiPriority w:val="0"/>
    <w:rPr>
      <w:color w:val="FFFFFF"/>
      <w:shd w:val="clear" w:color="auto" w:fill="006DCC"/>
    </w:rPr>
  </w:style>
  <w:style w:type="character" w:customStyle="1" w:styleId="70">
    <w:name w:val="badge"/>
    <w:basedOn w:val="29"/>
    <w:qFormat/>
    <w:uiPriority w:val="0"/>
    <w:rPr>
      <w:b/>
      <w:color w:val="FFFFFF"/>
      <w:sz w:val="24"/>
      <w:szCs w:val="24"/>
      <w:shd w:val="clear" w:color="auto" w:fill="001F3F"/>
    </w:rPr>
  </w:style>
  <w:style w:type="paragraph" w:customStyle="1" w:styleId="71">
    <w:name w:val="B1"/>
    <w:basedOn w:val="13"/>
    <w:qFormat/>
    <w:uiPriority w:val="0"/>
  </w:style>
  <w:style w:type="character" w:customStyle="1" w:styleId="72">
    <w:name w:val="列出段落 Char"/>
    <w:link w:val="45"/>
    <w:qFormat/>
    <w:locked/>
    <w:uiPriority w:val="34"/>
    <w:rPr>
      <w:rFonts w:eastAsia="Times New Roman"/>
      <w:kern w:val="2"/>
      <w:sz w:val="24"/>
      <w:szCs w:val="24"/>
    </w:rPr>
  </w:style>
  <w:style w:type="paragraph" w:customStyle="1" w:styleId="73">
    <w:name w:val="B2"/>
    <w:basedOn w:val="12"/>
    <w:qFormat/>
    <w:uiPriority w:val="0"/>
    <w:pPr>
      <w:overflowPunct w:val="0"/>
      <w:autoSpaceDE w:val="0"/>
      <w:autoSpaceDN w:val="0"/>
      <w:adjustRightInd w:val="0"/>
      <w:spacing w:before="100" w:beforeLines="0" w:beforeAutospacing="1" w:after="180" w:afterLines="0" w:line="240" w:lineRule="auto"/>
      <w:ind w:left="851" w:leftChars="0" w:hanging="284" w:firstLineChars="0"/>
      <w:contextualSpacing w:val="0"/>
      <w:jc w:val="left"/>
      <w:textAlignment w:val="baseline"/>
    </w:pPr>
    <w:rPr>
      <w:kern w:val="0"/>
      <w:sz w:val="24"/>
      <w:szCs w:val="24"/>
    </w:rPr>
  </w:style>
  <w:style w:type="character" w:customStyle="1" w:styleId="74">
    <w:name w:val="标题 4 Char"/>
    <w:basedOn w:val="29"/>
    <w:link w:val="5"/>
    <w:qFormat/>
    <w:uiPriority w:val="9"/>
    <w:rPr>
      <w:rFonts w:eastAsiaTheme="majorEastAsia" w:cstheme="minorHAnsi"/>
      <w:bCs/>
      <w:lang w:val="en-GB" w:eastAsia="en-US"/>
    </w:rPr>
  </w:style>
  <w:style w:type="character" w:customStyle="1" w:styleId="75">
    <w:name w:val="标题 5 Char"/>
    <w:basedOn w:val="29"/>
    <w:link w:val="6"/>
    <w:semiHidden/>
    <w:qFormat/>
    <w:uiPriority w:val="9"/>
    <w:rPr>
      <w:rFonts w:asciiTheme="majorHAnsi" w:hAnsiTheme="majorHAnsi" w:eastAsiaTheme="majorEastAsia" w:cstheme="majorBidi"/>
      <w:color w:val="376092" w:themeColor="accent1" w:themeShade="BF"/>
      <w:lang w:val="en-GB" w:eastAsia="en-US"/>
    </w:rPr>
  </w:style>
  <w:style w:type="character" w:customStyle="1" w:styleId="76">
    <w:name w:val="标题 6 Char"/>
    <w:basedOn w:val="29"/>
    <w:link w:val="7"/>
    <w:semiHidden/>
    <w:qFormat/>
    <w:uiPriority w:val="9"/>
    <w:rPr>
      <w:rFonts w:asciiTheme="majorHAnsi" w:hAnsiTheme="majorHAnsi" w:eastAsiaTheme="majorEastAsia" w:cstheme="majorBidi"/>
      <w:color w:val="254061" w:themeColor="accent1" w:themeShade="80"/>
      <w:lang w:val="en-GB" w:eastAsia="en-US"/>
    </w:rPr>
  </w:style>
  <w:style w:type="character" w:customStyle="1" w:styleId="77">
    <w:name w:val="标题 7 Char"/>
    <w:basedOn w:val="29"/>
    <w:link w:val="8"/>
    <w:semiHidden/>
    <w:qFormat/>
    <w:uiPriority w:val="9"/>
    <w:rPr>
      <w:rFonts w:asciiTheme="majorHAnsi" w:hAnsiTheme="majorHAnsi" w:eastAsiaTheme="majorEastAsia" w:cstheme="majorBidi"/>
      <w:i/>
      <w:iCs/>
      <w:color w:val="254061" w:themeColor="accent1" w:themeShade="80"/>
      <w:lang w:val="en-GB" w:eastAsia="en-US"/>
    </w:rPr>
  </w:style>
  <w:style w:type="character" w:customStyle="1" w:styleId="78">
    <w:name w:val="标题 8 Char"/>
    <w:basedOn w:val="29"/>
    <w:link w:val="9"/>
    <w:semiHidden/>
    <w:qFormat/>
    <w:uiPriority w:val="9"/>
    <w:rPr>
      <w:rFonts w:asciiTheme="majorHAnsi" w:hAnsiTheme="majorHAnsi" w:eastAsiaTheme="majorEastAsia" w:cstheme="majorBidi"/>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79">
    <w:name w:val="标题 9 Char"/>
    <w:basedOn w:val="29"/>
    <w:link w:val="10"/>
    <w:semiHidden/>
    <w:qFormat/>
    <w:uiPriority w:val="9"/>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paragraph" w:customStyle="1" w:styleId="80">
    <w:name w:val="B4"/>
    <w:basedOn w:val="24"/>
    <w:qFormat/>
    <w:uiPriority w:val="0"/>
  </w:style>
  <w:style w:type="paragraph" w:customStyle="1" w:styleId="81">
    <w:name w:val="x_xmsonormal"/>
    <w:basedOn w:val="1"/>
    <w:qFormat/>
    <w:uiPriority w:val="0"/>
    <w:rPr>
      <w:rFonts w:ascii="宋体" w:hAnsi="宋体" w:cs="Calibri"/>
      <w:sz w:val="24"/>
    </w:rPr>
  </w:style>
  <w:style w:type="character" w:customStyle="1" w:styleId="82">
    <w:name w:val="font21"/>
    <w:basedOn w:val="29"/>
    <w:qFormat/>
    <w:uiPriority w:val="0"/>
    <w:rPr>
      <w:rFonts w:hint="default" w:ascii="Times New Roman" w:hAnsi="Times New Roman" w:cs="Times New Roman"/>
      <w:color w:val="000000"/>
      <w:sz w:val="20"/>
      <w:szCs w:val="20"/>
      <w:u w:val="none"/>
    </w:rPr>
  </w:style>
  <w:style w:type="paragraph" w:customStyle="1" w:styleId="83">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0FA637-46F9-4842-890C-59E11E665617}">
  <ds:schemaRefs/>
</ds:datastoreItem>
</file>

<file path=docProps/app.xml><?xml version="1.0" encoding="utf-8"?>
<Properties xmlns="http://schemas.openxmlformats.org/officeDocument/2006/extended-properties" xmlns:vt="http://schemas.openxmlformats.org/officeDocument/2006/docPropsVTypes">
  <Template>Normal.dotm</Template>
  <Pages>1</Pages>
  <Words>3934</Words>
  <Characters>22426</Characters>
  <Lines>186</Lines>
  <Paragraphs>52</Paragraphs>
  <TotalTime>4</TotalTime>
  <ScaleCrop>false</ScaleCrop>
  <LinksUpToDate>false</LinksUpToDate>
  <CharactersWithSpaces>26308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2022-02-14T02:50:00Z</dcterms:created>
  <dc:creator>ZTE</dc:creator>
  <cp:lastModifiedBy>ZTE-MXY</cp:lastModifiedBy>
  <dcterms:modified xsi:type="dcterms:W3CDTF">2022-04-29T06:37:30Z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